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8C" w:rsidRDefault="00AB338C" w:rsidP="00AB338C">
      <w:pPr>
        <w:spacing w:before="120" w:line="300" w:lineRule="auto"/>
        <w:jc w:val="both"/>
        <w:rPr>
          <w:rFonts w:ascii="Calibri" w:hAnsi="Calibri" w:cs="Arial"/>
          <w:b/>
          <w:snapToGrid w:val="0"/>
          <w:sz w:val="28"/>
          <w:szCs w:val="28"/>
          <w:lang w:val="es-MX"/>
        </w:rPr>
      </w:pPr>
      <w:r w:rsidRPr="00323AC2">
        <w:rPr>
          <w:rFonts w:ascii="Calibri" w:hAnsi="Calibri" w:cs="Arial"/>
          <w:b/>
          <w:snapToGrid w:val="0"/>
          <w:sz w:val="28"/>
          <w:szCs w:val="28"/>
          <w:lang w:val="es-MX"/>
        </w:rPr>
        <w:t>2. INFORME ECONÓMICO-FINANCIERO.</w:t>
      </w:r>
    </w:p>
    <w:p w:rsidR="00AB338C" w:rsidRDefault="00AB338C" w:rsidP="00AB338C">
      <w:pPr>
        <w:jc w:val="both"/>
        <w:rPr>
          <w:rFonts w:ascii="Calibri" w:hAnsi="Calibri" w:cs="Arial"/>
          <w:sz w:val="22"/>
          <w:szCs w:val="22"/>
        </w:rPr>
      </w:pPr>
    </w:p>
    <w:p w:rsidR="00AB338C" w:rsidRDefault="00AB338C" w:rsidP="00AB338C">
      <w:pPr>
        <w:jc w:val="both"/>
        <w:rPr>
          <w:rFonts w:ascii="Calibri" w:hAnsi="Calibri" w:cs="Arial"/>
          <w:sz w:val="22"/>
          <w:szCs w:val="22"/>
        </w:rPr>
      </w:pPr>
    </w:p>
    <w:p w:rsidR="00AB338C" w:rsidRPr="00BE4C0D" w:rsidRDefault="00AB338C" w:rsidP="00AB338C">
      <w:pPr>
        <w:rPr>
          <w:rFonts w:ascii="Calibri" w:hAnsi="Calibri" w:cs="Arial"/>
          <w:b/>
          <w:sz w:val="24"/>
          <w:szCs w:val="24"/>
          <w:u w:val="single"/>
        </w:rPr>
      </w:pPr>
      <w:r w:rsidRPr="00BE4C0D">
        <w:rPr>
          <w:rFonts w:ascii="Calibri" w:hAnsi="Calibri" w:cs="Arial"/>
          <w:b/>
          <w:sz w:val="24"/>
          <w:szCs w:val="24"/>
          <w:u w:val="single"/>
        </w:rPr>
        <w:t>2.1 PRESUPUESTO DE INGRESOS</w:t>
      </w:r>
    </w:p>
    <w:p w:rsidR="00AB338C" w:rsidRPr="00323AC2" w:rsidRDefault="00AB338C" w:rsidP="00AB338C">
      <w:pPr>
        <w:jc w:val="both"/>
        <w:rPr>
          <w:rFonts w:ascii="Calibri" w:hAnsi="Calibri" w:cs="Arial"/>
          <w:sz w:val="22"/>
          <w:szCs w:val="22"/>
        </w:rPr>
      </w:pPr>
    </w:p>
    <w:p w:rsidR="00AB338C" w:rsidRPr="00323AC2" w:rsidRDefault="00AB338C" w:rsidP="00AB338C">
      <w:pPr>
        <w:spacing w:before="120" w:after="120" w:line="300" w:lineRule="auto"/>
        <w:ind w:firstLine="709"/>
        <w:jc w:val="both"/>
        <w:rPr>
          <w:rFonts w:ascii="Calibri" w:hAnsi="Calibri" w:cs="Arial"/>
          <w:sz w:val="22"/>
          <w:szCs w:val="22"/>
        </w:rPr>
      </w:pPr>
      <w:r w:rsidRPr="00323AC2">
        <w:rPr>
          <w:rFonts w:ascii="Calibri" w:hAnsi="Calibri" w:cs="Arial"/>
          <w:sz w:val="22"/>
          <w:szCs w:val="22"/>
        </w:rPr>
        <w:t xml:space="preserve">El </w:t>
      </w:r>
      <w:r w:rsidRPr="00BE4C0D">
        <w:rPr>
          <w:rFonts w:ascii="Calibri" w:hAnsi="Calibri" w:cs="Arial"/>
          <w:sz w:val="22"/>
          <w:szCs w:val="22"/>
        </w:rPr>
        <w:t>Presupuesto de Ingresos para</w:t>
      </w:r>
      <w:r w:rsidRPr="00323AC2">
        <w:rPr>
          <w:rFonts w:ascii="Calibri" w:hAnsi="Calibri" w:cs="Arial"/>
          <w:sz w:val="22"/>
          <w:szCs w:val="22"/>
        </w:rPr>
        <w:t xml:space="preserve"> el ejercicio 20</w:t>
      </w:r>
      <w:r>
        <w:rPr>
          <w:rFonts w:ascii="Calibri" w:hAnsi="Calibri" w:cs="Arial"/>
          <w:sz w:val="22"/>
          <w:szCs w:val="22"/>
        </w:rPr>
        <w:t>20</w:t>
      </w:r>
      <w:r w:rsidRPr="00323AC2">
        <w:rPr>
          <w:rFonts w:ascii="Calibri" w:hAnsi="Calibri" w:cs="Arial"/>
          <w:sz w:val="22"/>
          <w:szCs w:val="22"/>
        </w:rPr>
        <w:t xml:space="preserve"> asciende a </w:t>
      </w:r>
      <w:r>
        <w:rPr>
          <w:rFonts w:ascii="Calibri" w:hAnsi="Calibri" w:cs="Arial"/>
          <w:b/>
          <w:bCs/>
          <w:sz w:val="22"/>
          <w:szCs w:val="22"/>
        </w:rPr>
        <w:t>19.870.626,84</w:t>
      </w:r>
      <w:r w:rsidRPr="00323AC2">
        <w:rPr>
          <w:rFonts w:ascii="Calibri" w:hAnsi="Calibri" w:cs="Arial"/>
          <w:b/>
          <w:sz w:val="22"/>
          <w:szCs w:val="22"/>
        </w:rPr>
        <w:t>euros</w:t>
      </w:r>
      <w:r w:rsidRPr="00323AC2">
        <w:rPr>
          <w:rFonts w:ascii="Calibri" w:hAnsi="Calibri" w:cs="Arial"/>
          <w:sz w:val="22"/>
          <w:szCs w:val="22"/>
        </w:rPr>
        <w:t>. Por las características de este Consorcio, la estimación de los distintos capítulos se ha presupuestado teniendo en cuenta lo siguiente</w:t>
      </w:r>
      <w:r w:rsidRPr="00323AC2">
        <w:rPr>
          <w:rFonts w:ascii="Calibri" w:hAnsi="Calibri" w:cs="Arial"/>
          <w:bCs/>
          <w:sz w:val="22"/>
          <w:szCs w:val="22"/>
        </w:rPr>
        <w:t>:</w:t>
      </w:r>
    </w:p>
    <w:p w:rsidR="00AB338C" w:rsidRPr="00323AC2" w:rsidRDefault="00AB338C" w:rsidP="00AB338C">
      <w:pPr>
        <w:spacing w:before="120" w:line="300" w:lineRule="auto"/>
        <w:ind w:left="851" w:hanging="131"/>
        <w:jc w:val="both"/>
        <w:rPr>
          <w:rFonts w:ascii="Calibri" w:hAnsi="Calibri" w:cs="Arial"/>
          <w:bCs/>
          <w:sz w:val="22"/>
          <w:szCs w:val="22"/>
        </w:rPr>
      </w:pPr>
      <w:r w:rsidRPr="00323AC2">
        <w:rPr>
          <w:rFonts w:ascii="Calibri" w:hAnsi="Calibri" w:cs="Arial"/>
          <w:bCs/>
          <w:sz w:val="22"/>
          <w:szCs w:val="22"/>
        </w:rPr>
        <w:t>- Las aportaciones de los miembros del Consorcio teniendo en cuenta el total del Presupuesto de gastos del 20</w:t>
      </w:r>
      <w:r>
        <w:rPr>
          <w:rFonts w:ascii="Calibri" w:hAnsi="Calibri" w:cs="Arial"/>
          <w:bCs/>
          <w:sz w:val="22"/>
          <w:szCs w:val="22"/>
        </w:rPr>
        <w:t>20</w:t>
      </w:r>
      <w:r w:rsidRPr="00323AC2">
        <w:rPr>
          <w:rFonts w:ascii="Calibri" w:hAnsi="Calibri" w:cs="Arial"/>
          <w:bCs/>
          <w:sz w:val="22"/>
          <w:szCs w:val="22"/>
        </w:rPr>
        <w:t xml:space="preserve">. </w:t>
      </w:r>
    </w:p>
    <w:p w:rsidR="00AB338C" w:rsidRPr="00323AC2" w:rsidRDefault="00AB338C" w:rsidP="00AB338C">
      <w:pPr>
        <w:spacing w:before="120" w:line="300" w:lineRule="auto"/>
        <w:ind w:left="720"/>
        <w:jc w:val="both"/>
        <w:rPr>
          <w:rFonts w:ascii="Calibri" w:hAnsi="Calibri" w:cs="Arial"/>
          <w:bCs/>
          <w:sz w:val="22"/>
          <w:szCs w:val="22"/>
        </w:rPr>
      </w:pPr>
      <w:r w:rsidRPr="00323AC2">
        <w:rPr>
          <w:rFonts w:ascii="Calibri" w:hAnsi="Calibri" w:cs="Arial"/>
          <w:bCs/>
          <w:sz w:val="22"/>
          <w:szCs w:val="22"/>
        </w:rPr>
        <w:t>- El comportamiento y evolución de los ingresos en el ejercicio</w:t>
      </w:r>
      <w:r w:rsidR="002E41C7">
        <w:rPr>
          <w:rFonts w:ascii="Calibri" w:hAnsi="Calibri" w:cs="Arial"/>
          <w:bCs/>
          <w:sz w:val="22"/>
          <w:szCs w:val="22"/>
        </w:rPr>
        <w:t xml:space="preserve"> </w:t>
      </w:r>
      <w:r w:rsidRPr="00323AC2">
        <w:rPr>
          <w:rFonts w:ascii="Calibri" w:hAnsi="Calibri" w:cs="Arial"/>
          <w:bCs/>
          <w:sz w:val="22"/>
          <w:szCs w:val="22"/>
        </w:rPr>
        <w:t>anterior.</w:t>
      </w:r>
    </w:p>
    <w:p w:rsidR="00AB338C" w:rsidRPr="00323AC2" w:rsidRDefault="00AB338C" w:rsidP="00AB338C">
      <w:pPr>
        <w:spacing w:before="120" w:line="300" w:lineRule="auto"/>
        <w:ind w:left="851" w:hanging="131"/>
        <w:jc w:val="both"/>
        <w:rPr>
          <w:rFonts w:ascii="Calibri" w:hAnsi="Calibri" w:cs="Arial"/>
          <w:bCs/>
          <w:sz w:val="22"/>
          <w:szCs w:val="22"/>
        </w:rPr>
      </w:pPr>
      <w:r>
        <w:rPr>
          <w:rFonts w:ascii="Calibri" w:hAnsi="Calibri" w:cs="Arial"/>
          <w:bCs/>
          <w:sz w:val="22"/>
          <w:szCs w:val="22"/>
        </w:rPr>
        <w:t xml:space="preserve">- </w:t>
      </w:r>
      <w:r w:rsidRPr="00323AC2">
        <w:rPr>
          <w:rFonts w:ascii="Calibri" w:hAnsi="Calibri" w:cs="Arial"/>
          <w:bCs/>
          <w:sz w:val="22"/>
          <w:szCs w:val="22"/>
        </w:rPr>
        <w:t>El análisis de los factores que inciden en su variación, principalmente el Euribor, en lo que se refiere a los intereses de las cuentas bancarias.</w:t>
      </w:r>
    </w:p>
    <w:p w:rsidR="00AB338C" w:rsidRPr="00323AC2" w:rsidRDefault="00AB338C" w:rsidP="00AB338C">
      <w:pPr>
        <w:spacing w:before="120" w:line="300" w:lineRule="auto"/>
        <w:ind w:left="851" w:hanging="131"/>
        <w:jc w:val="both"/>
        <w:rPr>
          <w:rFonts w:ascii="Calibri" w:hAnsi="Calibri" w:cs="Arial"/>
          <w:bCs/>
          <w:sz w:val="22"/>
          <w:szCs w:val="22"/>
        </w:rPr>
      </w:pPr>
      <w:r>
        <w:rPr>
          <w:rFonts w:ascii="Calibri" w:hAnsi="Calibri" w:cs="Arial"/>
          <w:bCs/>
          <w:sz w:val="22"/>
          <w:szCs w:val="22"/>
        </w:rPr>
        <w:t xml:space="preserve">- </w:t>
      </w:r>
      <w:r w:rsidRPr="00323AC2">
        <w:rPr>
          <w:rFonts w:ascii="Calibri" w:hAnsi="Calibri" w:cs="Arial"/>
          <w:bCs/>
          <w:sz w:val="22"/>
          <w:szCs w:val="22"/>
        </w:rPr>
        <w:t xml:space="preserve">El convenio que </w:t>
      </w:r>
      <w:r>
        <w:rPr>
          <w:rFonts w:ascii="Calibri" w:hAnsi="Calibri" w:cs="Arial"/>
          <w:bCs/>
          <w:sz w:val="22"/>
          <w:szCs w:val="22"/>
        </w:rPr>
        <w:t>prevé tener</w:t>
      </w:r>
      <w:r w:rsidRPr="00323AC2">
        <w:rPr>
          <w:rFonts w:ascii="Calibri" w:hAnsi="Calibri" w:cs="Arial"/>
          <w:bCs/>
          <w:sz w:val="22"/>
          <w:szCs w:val="22"/>
        </w:rPr>
        <w:t xml:space="preserve"> este Consorcio con UNESPA (Gestora de Concierto de contribuciones especiales).</w:t>
      </w:r>
    </w:p>
    <w:p w:rsidR="00AB338C" w:rsidRPr="00323AC2" w:rsidRDefault="00AB338C" w:rsidP="00AB338C">
      <w:pPr>
        <w:spacing w:before="120" w:line="300" w:lineRule="auto"/>
        <w:ind w:left="851" w:hanging="131"/>
        <w:jc w:val="both"/>
        <w:rPr>
          <w:rFonts w:ascii="Calibri" w:hAnsi="Calibri" w:cs="Arial"/>
          <w:bCs/>
          <w:sz w:val="22"/>
          <w:szCs w:val="22"/>
        </w:rPr>
      </w:pPr>
      <w:r w:rsidRPr="00323AC2">
        <w:rPr>
          <w:rFonts w:ascii="Calibri" w:hAnsi="Calibri" w:cs="Arial"/>
          <w:bCs/>
          <w:sz w:val="22"/>
          <w:szCs w:val="22"/>
        </w:rPr>
        <w:t>- La evolución del cobro de tasas de los servicios realizados y de los precios públicos por retenes.</w:t>
      </w:r>
    </w:p>
    <w:p w:rsidR="00AB338C" w:rsidRPr="00323AC2" w:rsidRDefault="00AB338C" w:rsidP="00AB338C">
      <w:pPr>
        <w:spacing w:before="120" w:line="300" w:lineRule="auto"/>
        <w:ind w:left="851" w:hanging="131"/>
        <w:jc w:val="both"/>
        <w:rPr>
          <w:rFonts w:ascii="Calibri" w:hAnsi="Calibri" w:cs="Arial"/>
          <w:bCs/>
          <w:sz w:val="22"/>
          <w:szCs w:val="22"/>
        </w:rPr>
      </w:pPr>
      <w:r w:rsidRPr="00323AC2">
        <w:rPr>
          <w:rFonts w:ascii="Calibri" w:hAnsi="Calibri" w:cs="Arial"/>
          <w:bCs/>
          <w:sz w:val="22"/>
          <w:szCs w:val="22"/>
        </w:rPr>
        <w:t>- Aportaciones extraordinarias de capital del Excmo. Cabildo Insular de Tenerife.</w:t>
      </w:r>
    </w:p>
    <w:p w:rsidR="00AB338C" w:rsidRPr="00323AC2" w:rsidRDefault="00AB338C" w:rsidP="00AB338C">
      <w:pPr>
        <w:spacing w:before="120" w:line="300" w:lineRule="auto"/>
        <w:ind w:left="851" w:hanging="131"/>
        <w:jc w:val="both"/>
        <w:rPr>
          <w:rFonts w:ascii="Calibri" w:hAnsi="Calibri" w:cs="Arial"/>
          <w:bCs/>
          <w:sz w:val="22"/>
          <w:szCs w:val="22"/>
        </w:rPr>
      </w:pPr>
    </w:p>
    <w:p w:rsidR="00AB338C" w:rsidRPr="00323AC2" w:rsidRDefault="00AB338C" w:rsidP="00AB338C">
      <w:pPr>
        <w:spacing w:before="120" w:line="300" w:lineRule="auto"/>
        <w:ind w:firstLine="709"/>
        <w:jc w:val="both"/>
        <w:rPr>
          <w:rFonts w:ascii="Calibri" w:hAnsi="Calibri" w:cs="Arial"/>
          <w:bCs/>
          <w:sz w:val="22"/>
          <w:szCs w:val="22"/>
        </w:rPr>
      </w:pPr>
      <w:r w:rsidRPr="00323AC2">
        <w:rPr>
          <w:rFonts w:ascii="Calibri" w:hAnsi="Calibri" w:cs="Arial"/>
          <w:bCs/>
          <w:sz w:val="22"/>
          <w:szCs w:val="22"/>
        </w:rPr>
        <w:t>Las previsiones de ingresos para el Presupuesto de 20</w:t>
      </w:r>
      <w:r>
        <w:rPr>
          <w:rFonts w:ascii="Calibri" w:hAnsi="Calibri" w:cs="Arial"/>
          <w:bCs/>
          <w:sz w:val="22"/>
          <w:szCs w:val="22"/>
        </w:rPr>
        <w:t>20</w:t>
      </w:r>
      <w:r w:rsidRPr="00323AC2">
        <w:rPr>
          <w:rFonts w:ascii="Calibri" w:hAnsi="Calibri" w:cs="Arial"/>
          <w:bCs/>
          <w:sz w:val="22"/>
          <w:szCs w:val="22"/>
        </w:rPr>
        <w:t xml:space="preserve"> son las siguientes:</w:t>
      </w:r>
    </w:p>
    <w:p w:rsidR="00AB338C" w:rsidRPr="00323AC2" w:rsidRDefault="00AB338C" w:rsidP="00AB338C">
      <w:pPr>
        <w:spacing w:before="120" w:line="300" w:lineRule="auto"/>
        <w:ind w:firstLine="709"/>
        <w:jc w:val="both"/>
        <w:rPr>
          <w:rFonts w:ascii="Calibri" w:hAnsi="Calibri" w:cs="Arial"/>
          <w:bCs/>
          <w:sz w:val="22"/>
          <w:szCs w:val="22"/>
        </w:rPr>
      </w:pPr>
    </w:p>
    <w:tbl>
      <w:tblPr>
        <w:tblW w:w="8328" w:type="dxa"/>
        <w:jc w:val="center"/>
        <w:tblBorders>
          <w:top w:val="single" w:sz="12" w:space="0" w:color="000000"/>
          <w:bottom w:val="single" w:sz="12" w:space="0" w:color="000000"/>
        </w:tblBorders>
        <w:tblLook w:val="01E0"/>
      </w:tblPr>
      <w:tblGrid>
        <w:gridCol w:w="1057"/>
        <w:gridCol w:w="2961"/>
        <w:gridCol w:w="1583"/>
        <w:gridCol w:w="1583"/>
        <w:gridCol w:w="1144"/>
      </w:tblGrid>
      <w:tr w:rsidR="00AB338C" w:rsidRPr="00323AC2" w:rsidTr="00AB338C">
        <w:trPr>
          <w:trHeight w:val="510"/>
          <w:jc w:val="center"/>
        </w:trPr>
        <w:tc>
          <w:tcPr>
            <w:tcW w:w="1057" w:type="dxa"/>
            <w:tcBorders>
              <w:top w:val="single" w:sz="12" w:space="0" w:color="000000"/>
              <w:bottom w:val="single" w:sz="6" w:space="0" w:color="000000"/>
            </w:tcBorders>
            <w:shd w:val="clear" w:color="auto" w:fill="auto"/>
          </w:tcPr>
          <w:p w:rsidR="00AB338C" w:rsidRPr="00323AC2" w:rsidRDefault="00AB338C" w:rsidP="00AB338C">
            <w:pPr>
              <w:spacing w:before="120" w:line="300" w:lineRule="auto"/>
              <w:jc w:val="both"/>
              <w:rPr>
                <w:rFonts w:ascii="Calibri" w:hAnsi="Calibri" w:cs="Arial"/>
                <w:b/>
                <w:bCs/>
                <w:sz w:val="22"/>
                <w:szCs w:val="22"/>
              </w:rPr>
            </w:pPr>
            <w:r w:rsidRPr="00323AC2">
              <w:rPr>
                <w:rFonts w:ascii="Calibri" w:hAnsi="Calibri" w:cs="Arial"/>
                <w:b/>
                <w:bCs/>
                <w:sz w:val="22"/>
                <w:szCs w:val="22"/>
              </w:rPr>
              <w:t>Capítulo</w:t>
            </w:r>
          </w:p>
        </w:tc>
        <w:tc>
          <w:tcPr>
            <w:tcW w:w="2961" w:type="dxa"/>
            <w:tcBorders>
              <w:top w:val="single" w:sz="12" w:space="0" w:color="000000"/>
              <w:bottom w:val="single" w:sz="6" w:space="0" w:color="000000"/>
            </w:tcBorders>
            <w:shd w:val="clear" w:color="auto" w:fill="auto"/>
          </w:tcPr>
          <w:p w:rsidR="00AB338C" w:rsidRPr="00323AC2" w:rsidRDefault="00AB338C" w:rsidP="00AB338C">
            <w:pPr>
              <w:spacing w:before="120" w:line="300" w:lineRule="auto"/>
              <w:jc w:val="both"/>
              <w:rPr>
                <w:rFonts w:ascii="Calibri" w:hAnsi="Calibri" w:cs="Arial"/>
                <w:b/>
                <w:sz w:val="22"/>
                <w:szCs w:val="22"/>
              </w:rPr>
            </w:pPr>
            <w:r w:rsidRPr="00323AC2">
              <w:rPr>
                <w:rFonts w:ascii="Calibri" w:hAnsi="Calibri" w:cs="Arial"/>
                <w:b/>
                <w:sz w:val="22"/>
                <w:szCs w:val="22"/>
              </w:rPr>
              <w:t>Descripción</w:t>
            </w:r>
          </w:p>
        </w:tc>
        <w:tc>
          <w:tcPr>
            <w:tcW w:w="1583" w:type="dxa"/>
            <w:tcBorders>
              <w:top w:val="single" w:sz="12" w:space="0" w:color="000000"/>
              <w:bottom w:val="single" w:sz="6" w:space="0" w:color="000000"/>
            </w:tcBorders>
            <w:shd w:val="clear" w:color="auto" w:fill="auto"/>
          </w:tcPr>
          <w:p w:rsidR="00AB338C" w:rsidRPr="00323AC2" w:rsidRDefault="00AB338C" w:rsidP="00AB338C">
            <w:pPr>
              <w:spacing w:before="120" w:line="300" w:lineRule="auto"/>
              <w:jc w:val="center"/>
              <w:rPr>
                <w:rFonts w:ascii="Calibri" w:hAnsi="Calibri" w:cs="Arial"/>
                <w:b/>
                <w:sz w:val="22"/>
                <w:szCs w:val="22"/>
              </w:rPr>
            </w:pPr>
            <w:r w:rsidRPr="00323AC2">
              <w:rPr>
                <w:rFonts w:ascii="Calibri" w:hAnsi="Calibri" w:cs="Arial"/>
                <w:b/>
                <w:sz w:val="22"/>
                <w:szCs w:val="22"/>
              </w:rPr>
              <w:t>20</w:t>
            </w:r>
            <w:r>
              <w:rPr>
                <w:rFonts w:ascii="Calibri" w:hAnsi="Calibri" w:cs="Arial"/>
                <w:b/>
                <w:sz w:val="22"/>
                <w:szCs w:val="22"/>
              </w:rPr>
              <w:t>20</w:t>
            </w:r>
          </w:p>
        </w:tc>
        <w:tc>
          <w:tcPr>
            <w:tcW w:w="1583" w:type="dxa"/>
            <w:tcBorders>
              <w:top w:val="single" w:sz="12" w:space="0" w:color="000000"/>
              <w:bottom w:val="single" w:sz="6" w:space="0" w:color="000000"/>
            </w:tcBorders>
          </w:tcPr>
          <w:p w:rsidR="00AB338C" w:rsidRPr="00323AC2" w:rsidRDefault="00AB338C" w:rsidP="00AB338C">
            <w:pPr>
              <w:spacing w:before="120" w:line="300" w:lineRule="auto"/>
              <w:jc w:val="center"/>
              <w:rPr>
                <w:rFonts w:ascii="Calibri" w:hAnsi="Calibri" w:cs="Arial"/>
                <w:b/>
                <w:sz w:val="22"/>
                <w:szCs w:val="22"/>
              </w:rPr>
            </w:pPr>
            <w:r w:rsidRPr="00323AC2">
              <w:rPr>
                <w:rFonts w:ascii="Calibri" w:hAnsi="Calibri" w:cs="Arial"/>
                <w:b/>
                <w:sz w:val="22"/>
                <w:szCs w:val="22"/>
              </w:rPr>
              <w:t>201</w:t>
            </w:r>
            <w:r>
              <w:rPr>
                <w:rFonts w:ascii="Calibri" w:hAnsi="Calibri" w:cs="Arial"/>
                <w:b/>
                <w:sz w:val="22"/>
                <w:szCs w:val="22"/>
              </w:rPr>
              <w:t>9</w:t>
            </w:r>
          </w:p>
        </w:tc>
        <w:tc>
          <w:tcPr>
            <w:tcW w:w="1144" w:type="dxa"/>
            <w:tcBorders>
              <w:top w:val="single" w:sz="12" w:space="0" w:color="000000"/>
              <w:bottom w:val="single" w:sz="6" w:space="0" w:color="000000"/>
            </w:tcBorders>
            <w:shd w:val="clear" w:color="auto" w:fill="auto"/>
          </w:tcPr>
          <w:p w:rsidR="00AB338C" w:rsidRPr="00323AC2" w:rsidRDefault="00AB338C" w:rsidP="00AB338C">
            <w:pPr>
              <w:spacing w:before="120" w:line="300" w:lineRule="auto"/>
              <w:jc w:val="right"/>
              <w:rPr>
                <w:rFonts w:ascii="Calibri" w:hAnsi="Calibri" w:cs="Arial"/>
                <w:b/>
                <w:sz w:val="22"/>
                <w:szCs w:val="22"/>
              </w:rPr>
            </w:pPr>
            <w:r w:rsidRPr="00323AC2">
              <w:rPr>
                <w:rFonts w:ascii="Calibri" w:hAnsi="Calibri" w:cs="Arial"/>
                <w:b/>
                <w:sz w:val="22"/>
                <w:szCs w:val="22"/>
              </w:rPr>
              <w:t>Variación</w:t>
            </w:r>
          </w:p>
        </w:tc>
      </w:tr>
      <w:tr w:rsidR="00AB338C" w:rsidRPr="00323AC2" w:rsidTr="00AB338C">
        <w:trPr>
          <w:trHeight w:val="510"/>
          <w:jc w:val="center"/>
        </w:trPr>
        <w:tc>
          <w:tcPr>
            <w:tcW w:w="1057" w:type="dxa"/>
            <w:shd w:val="clear" w:color="auto" w:fill="DBE5F1" w:themeFill="accent1" w:themeFillTint="33"/>
          </w:tcPr>
          <w:p w:rsidR="00AB338C" w:rsidRPr="00323AC2" w:rsidRDefault="00AB338C" w:rsidP="00AB338C">
            <w:pPr>
              <w:spacing w:before="120" w:line="300" w:lineRule="auto"/>
              <w:ind w:left="142"/>
              <w:jc w:val="both"/>
              <w:rPr>
                <w:rFonts w:ascii="Calibri" w:hAnsi="Calibri" w:cs="Arial"/>
                <w:b/>
                <w:bCs/>
                <w:sz w:val="22"/>
                <w:szCs w:val="22"/>
              </w:rPr>
            </w:pPr>
            <w:r w:rsidRPr="00323AC2">
              <w:rPr>
                <w:rFonts w:ascii="Calibri" w:hAnsi="Calibri" w:cs="Arial"/>
                <w:b/>
                <w:bCs/>
                <w:sz w:val="22"/>
                <w:szCs w:val="22"/>
              </w:rPr>
              <w:t>III</w:t>
            </w:r>
          </w:p>
        </w:tc>
        <w:tc>
          <w:tcPr>
            <w:tcW w:w="2961" w:type="dxa"/>
          </w:tcPr>
          <w:p w:rsidR="00AB338C" w:rsidRPr="00323AC2" w:rsidRDefault="00AB338C" w:rsidP="00AB338C">
            <w:pPr>
              <w:spacing w:before="120" w:line="300" w:lineRule="auto"/>
              <w:jc w:val="both"/>
              <w:rPr>
                <w:rFonts w:ascii="Calibri" w:hAnsi="Calibri" w:cs="Arial"/>
                <w:sz w:val="22"/>
                <w:szCs w:val="22"/>
              </w:rPr>
            </w:pPr>
            <w:r w:rsidRPr="00323AC2">
              <w:rPr>
                <w:rFonts w:ascii="Calibri" w:hAnsi="Calibri" w:cs="Arial"/>
                <w:sz w:val="22"/>
                <w:szCs w:val="22"/>
              </w:rPr>
              <w:t>Tasas y otros ingresos</w:t>
            </w:r>
          </w:p>
        </w:tc>
        <w:tc>
          <w:tcPr>
            <w:tcW w:w="1583" w:type="dxa"/>
            <w:vAlign w:val="center"/>
          </w:tcPr>
          <w:p w:rsidR="00AB338C" w:rsidRDefault="00AB338C" w:rsidP="00AB338C">
            <w:pPr>
              <w:autoSpaceDE/>
              <w:autoSpaceDN/>
              <w:jc w:val="right"/>
              <w:rPr>
                <w:rFonts w:ascii="Calibri" w:hAnsi="Calibri"/>
                <w:color w:val="000000"/>
                <w:sz w:val="22"/>
                <w:szCs w:val="22"/>
              </w:rPr>
            </w:pPr>
            <w:r>
              <w:rPr>
                <w:rFonts w:ascii="Calibri" w:hAnsi="Calibri"/>
                <w:color w:val="000000"/>
                <w:sz w:val="22"/>
                <w:szCs w:val="22"/>
              </w:rPr>
              <w:t>2.530.000,00</w:t>
            </w:r>
          </w:p>
        </w:tc>
        <w:tc>
          <w:tcPr>
            <w:tcW w:w="1583" w:type="dxa"/>
            <w:vAlign w:val="center"/>
          </w:tcPr>
          <w:p w:rsidR="00AB338C" w:rsidRPr="00323AC2" w:rsidRDefault="00AB338C" w:rsidP="00AB338C">
            <w:pPr>
              <w:autoSpaceDE/>
              <w:autoSpaceDN/>
              <w:jc w:val="right"/>
              <w:rPr>
                <w:rFonts w:ascii="Calibri" w:hAnsi="Calibri"/>
                <w:sz w:val="22"/>
                <w:szCs w:val="22"/>
              </w:rPr>
            </w:pPr>
            <w:r w:rsidRPr="00323AC2">
              <w:rPr>
                <w:rFonts w:ascii="Calibri" w:hAnsi="Calibri"/>
                <w:sz w:val="22"/>
                <w:szCs w:val="22"/>
              </w:rPr>
              <w:t>2.3</w:t>
            </w:r>
            <w:r>
              <w:rPr>
                <w:rFonts w:ascii="Calibri" w:hAnsi="Calibri"/>
                <w:sz w:val="22"/>
                <w:szCs w:val="22"/>
              </w:rPr>
              <w:t>9</w:t>
            </w:r>
            <w:r w:rsidRPr="00323AC2">
              <w:rPr>
                <w:rFonts w:ascii="Calibri" w:hAnsi="Calibri"/>
                <w:sz w:val="22"/>
                <w:szCs w:val="22"/>
              </w:rPr>
              <w:t>0.000,00</w:t>
            </w:r>
          </w:p>
        </w:tc>
        <w:tc>
          <w:tcPr>
            <w:tcW w:w="1144" w:type="dxa"/>
            <w:vAlign w:val="center"/>
          </w:tcPr>
          <w:p w:rsidR="00AB338C" w:rsidRDefault="00AB338C" w:rsidP="00AB338C">
            <w:pPr>
              <w:autoSpaceDE/>
              <w:autoSpaceDN/>
              <w:jc w:val="right"/>
              <w:rPr>
                <w:rFonts w:ascii="Calibri" w:hAnsi="Calibri"/>
                <w:color w:val="000000"/>
                <w:sz w:val="22"/>
                <w:szCs w:val="22"/>
              </w:rPr>
            </w:pPr>
            <w:r>
              <w:rPr>
                <w:rFonts w:ascii="Calibri" w:hAnsi="Calibri"/>
                <w:color w:val="000000"/>
                <w:sz w:val="22"/>
                <w:szCs w:val="22"/>
              </w:rPr>
              <w:t>5,86%</w:t>
            </w:r>
          </w:p>
        </w:tc>
      </w:tr>
      <w:tr w:rsidR="00AB338C" w:rsidRPr="00323AC2" w:rsidTr="00AB338C">
        <w:trPr>
          <w:trHeight w:val="510"/>
          <w:jc w:val="center"/>
        </w:trPr>
        <w:tc>
          <w:tcPr>
            <w:tcW w:w="1057" w:type="dxa"/>
            <w:shd w:val="clear" w:color="auto" w:fill="DBE5F1" w:themeFill="accent1" w:themeFillTint="33"/>
          </w:tcPr>
          <w:p w:rsidR="00AB338C" w:rsidRPr="00323AC2" w:rsidRDefault="00AB338C" w:rsidP="00AB338C">
            <w:pPr>
              <w:spacing w:before="120" w:line="300" w:lineRule="auto"/>
              <w:ind w:left="142"/>
              <w:jc w:val="both"/>
              <w:rPr>
                <w:rFonts w:ascii="Calibri" w:hAnsi="Calibri" w:cs="Arial"/>
                <w:b/>
                <w:bCs/>
                <w:sz w:val="22"/>
                <w:szCs w:val="22"/>
              </w:rPr>
            </w:pPr>
            <w:r w:rsidRPr="00323AC2">
              <w:rPr>
                <w:rFonts w:ascii="Calibri" w:hAnsi="Calibri" w:cs="Arial"/>
                <w:b/>
                <w:bCs/>
                <w:sz w:val="22"/>
                <w:szCs w:val="22"/>
              </w:rPr>
              <w:t>IV</w:t>
            </w:r>
          </w:p>
        </w:tc>
        <w:tc>
          <w:tcPr>
            <w:tcW w:w="2961" w:type="dxa"/>
          </w:tcPr>
          <w:p w:rsidR="00AB338C" w:rsidRPr="00323AC2" w:rsidRDefault="00AB338C" w:rsidP="00AB338C">
            <w:pPr>
              <w:spacing w:before="120" w:line="300" w:lineRule="auto"/>
              <w:jc w:val="both"/>
              <w:rPr>
                <w:rFonts w:ascii="Calibri" w:hAnsi="Calibri" w:cs="Arial"/>
                <w:sz w:val="22"/>
                <w:szCs w:val="22"/>
              </w:rPr>
            </w:pPr>
            <w:r w:rsidRPr="00323AC2">
              <w:rPr>
                <w:rFonts w:ascii="Calibri" w:hAnsi="Calibri" w:cs="Arial"/>
                <w:sz w:val="22"/>
                <w:szCs w:val="22"/>
              </w:rPr>
              <w:t>Transferencias corrientes</w:t>
            </w:r>
          </w:p>
        </w:tc>
        <w:tc>
          <w:tcPr>
            <w:tcW w:w="1583"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16.808.325,52</w:t>
            </w:r>
          </w:p>
        </w:tc>
        <w:tc>
          <w:tcPr>
            <w:tcW w:w="1583" w:type="dxa"/>
            <w:vAlign w:val="center"/>
          </w:tcPr>
          <w:p w:rsidR="00AB338C" w:rsidRPr="00323AC2" w:rsidRDefault="00AB338C" w:rsidP="00AB338C">
            <w:pPr>
              <w:jc w:val="right"/>
              <w:rPr>
                <w:rFonts w:ascii="Calibri" w:hAnsi="Calibri"/>
                <w:sz w:val="22"/>
                <w:szCs w:val="22"/>
              </w:rPr>
            </w:pPr>
            <w:r>
              <w:rPr>
                <w:rFonts w:ascii="Calibri" w:hAnsi="Calibri"/>
                <w:sz w:val="22"/>
                <w:szCs w:val="22"/>
              </w:rPr>
              <w:t>15.825.437,38</w:t>
            </w:r>
          </w:p>
        </w:tc>
        <w:tc>
          <w:tcPr>
            <w:tcW w:w="1144"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6,21%</w:t>
            </w:r>
          </w:p>
        </w:tc>
      </w:tr>
      <w:tr w:rsidR="00AB338C" w:rsidRPr="00323AC2" w:rsidTr="00AB338C">
        <w:trPr>
          <w:trHeight w:val="510"/>
          <w:jc w:val="center"/>
        </w:trPr>
        <w:tc>
          <w:tcPr>
            <w:tcW w:w="1057" w:type="dxa"/>
            <w:shd w:val="clear" w:color="auto" w:fill="DBE5F1" w:themeFill="accent1" w:themeFillTint="33"/>
          </w:tcPr>
          <w:p w:rsidR="00AB338C" w:rsidRPr="00323AC2" w:rsidRDefault="00AB338C" w:rsidP="00AB338C">
            <w:pPr>
              <w:spacing w:before="120" w:line="300" w:lineRule="auto"/>
              <w:ind w:left="142"/>
              <w:jc w:val="both"/>
              <w:rPr>
                <w:rFonts w:ascii="Calibri" w:hAnsi="Calibri" w:cs="Arial"/>
                <w:b/>
                <w:bCs/>
                <w:sz w:val="22"/>
                <w:szCs w:val="22"/>
              </w:rPr>
            </w:pPr>
            <w:r w:rsidRPr="00323AC2">
              <w:rPr>
                <w:rFonts w:ascii="Calibri" w:hAnsi="Calibri" w:cs="Arial"/>
                <w:b/>
                <w:bCs/>
                <w:sz w:val="22"/>
                <w:szCs w:val="22"/>
              </w:rPr>
              <w:t>V</w:t>
            </w:r>
          </w:p>
        </w:tc>
        <w:tc>
          <w:tcPr>
            <w:tcW w:w="2961" w:type="dxa"/>
          </w:tcPr>
          <w:p w:rsidR="00AB338C" w:rsidRPr="00323AC2" w:rsidRDefault="00AB338C" w:rsidP="00AB338C">
            <w:pPr>
              <w:spacing w:before="120" w:line="300" w:lineRule="auto"/>
              <w:jc w:val="both"/>
              <w:rPr>
                <w:rFonts w:ascii="Calibri" w:hAnsi="Calibri" w:cs="Arial"/>
                <w:sz w:val="22"/>
                <w:szCs w:val="22"/>
              </w:rPr>
            </w:pPr>
            <w:r w:rsidRPr="00323AC2">
              <w:rPr>
                <w:rFonts w:ascii="Calibri" w:hAnsi="Calibri" w:cs="Arial"/>
                <w:sz w:val="22"/>
                <w:szCs w:val="22"/>
              </w:rPr>
              <w:t>Ingresos patrimoniales</w:t>
            </w:r>
          </w:p>
        </w:tc>
        <w:tc>
          <w:tcPr>
            <w:tcW w:w="1583"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500,00</w:t>
            </w:r>
          </w:p>
        </w:tc>
        <w:tc>
          <w:tcPr>
            <w:tcW w:w="1583" w:type="dxa"/>
            <w:vAlign w:val="center"/>
          </w:tcPr>
          <w:p w:rsidR="00AB338C" w:rsidRPr="00323AC2" w:rsidRDefault="00AB338C" w:rsidP="00AB338C">
            <w:pPr>
              <w:jc w:val="right"/>
              <w:rPr>
                <w:rFonts w:ascii="Calibri" w:hAnsi="Calibri"/>
                <w:sz w:val="22"/>
                <w:szCs w:val="22"/>
              </w:rPr>
            </w:pPr>
            <w:r w:rsidRPr="00323AC2">
              <w:rPr>
                <w:rFonts w:ascii="Calibri" w:hAnsi="Calibri"/>
                <w:sz w:val="22"/>
                <w:szCs w:val="22"/>
              </w:rPr>
              <w:t>2.500,00</w:t>
            </w:r>
          </w:p>
        </w:tc>
        <w:tc>
          <w:tcPr>
            <w:tcW w:w="1144"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-80,00%</w:t>
            </w:r>
          </w:p>
        </w:tc>
      </w:tr>
      <w:tr w:rsidR="00AB338C" w:rsidRPr="00323AC2" w:rsidTr="00AB338C">
        <w:trPr>
          <w:trHeight w:val="510"/>
          <w:jc w:val="center"/>
        </w:trPr>
        <w:tc>
          <w:tcPr>
            <w:tcW w:w="1057" w:type="dxa"/>
            <w:shd w:val="clear" w:color="auto" w:fill="DBE5F1" w:themeFill="accent1" w:themeFillTint="33"/>
          </w:tcPr>
          <w:p w:rsidR="00AB338C" w:rsidRPr="00323AC2" w:rsidRDefault="00AB338C" w:rsidP="00AB338C">
            <w:pPr>
              <w:spacing w:before="120" w:line="300" w:lineRule="auto"/>
              <w:ind w:left="142"/>
              <w:jc w:val="both"/>
              <w:rPr>
                <w:rFonts w:ascii="Calibri" w:hAnsi="Calibri" w:cs="Arial"/>
                <w:b/>
                <w:bCs/>
                <w:sz w:val="22"/>
                <w:szCs w:val="22"/>
              </w:rPr>
            </w:pPr>
            <w:r w:rsidRPr="00323AC2">
              <w:rPr>
                <w:rFonts w:ascii="Calibri" w:hAnsi="Calibri" w:cs="Arial"/>
                <w:b/>
                <w:bCs/>
                <w:sz w:val="22"/>
                <w:szCs w:val="22"/>
              </w:rPr>
              <w:t>VII</w:t>
            </w:r>
          </w:p>
        </w:tc>
        <w:tc>
          <w:tcPr>
            <w:tcW w:w="2961" w:type="dxa"/>
          </w:tcPr>
          <w:p w:rsidR="00AB338C" w:rsidRPr="00323AC2" w:rsidRDefault="00AB338C" w:rsidP="00AB338C">
            <w:pPr>
              <w:spacing w:before="120" w:line="300" w:lineRule="auto"/>
              <w:jc w:val="both"/>
              <w:rPr>
                <w:rFonts w:ascii="Calibri" w:hAnsi="Calibri" w:cs="Arial"/>
                <w:sz w:val="22"/>
                <w:szCs w:val="22"/>
              </w:rPr>
            </w:pPr>
            <w:r w:rsidRPr="00323AC2">
              <w:rPr>
                <w:rFonts w:ascii="Calibri" w:hAnsi="Calibri" w:cs="Arial"/>
                <w:sz w:val="22"/>
                <w:szCs w:val="22"/>
              </w:rPr>
              <w:t>Transferencia capital</w:t>
            </w:r>
          </w:p>
        </w:tc>
        <w:tc>
          <w:tcPr>
            <w:tcW w:w="1583"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421.801,32</w:t>
            </w:r>
          </w:p>
        </w:tc>
        <w:tc>
          <w:tcPr>
            <w:tcW w:w="1583" w:type="dxa"/>
            <w:vAlign w:val="center"/>
          </w:tcPr>
          <w:p w:rsidR="00AB338C" w:rsidRPr="00323AC2" w:rsidRDefault="00AB338C" w:rsidP="00AB338C">
            <w:pPr>
              <w:jc w:val="right"/>
              <w:rPr>
                <w:rFonts w:ascii="Calibri" w:hAnsi="Calibri"/>
                <w:sz w:val="22"/>
                <w:szCs w:val="22"/>
              </w:rPr>
            </w:pPr>
            <w:r>
              <w:rPr>
                <w:rFonts w:ascii="Calibri" w:hAnsi="Calibri"/>
                <w:sz w:val="22"/>
                <w:szCs w:val="22"/>
              </w:rPr>
              <w:t>928.442,56</w:t>
            </w:r>
          </w:p>
        </w:tc>
        <w:tc>
          <w:tcPr>
            <w:tcW w:w="1144"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-54,57%</w:t>
            </w:r>
          </w:p>
        </w:tc>
      </w:tr>
      <w:tr w:rsidR="00AB338C" w:rsidRPr="00323AC2" w:rsidTr="00AB338C">
        <w:trPr>
          <w:trHeight w:val="510"/>
          <w:jc w:val="center"/>
        </w:trPr>
        <w:tc>
          <w:tcPr>
            <w:tcW w:w="1057" w:type="dxa"/>
            <w:shd w:val="clear" w:color="auto" w:fill="DBE5F1" w:themeFill="accent1" w:themeFillTint="33"/>
          </w:tcPr>
          <w:p w:rsidR="00AB338C" w:rsidRPr="00323AC2" w:rsidRDefault="00AB338C" w:rsidP="00AB338C">
            <w:pPr>
              <w:spacing w:before="120" w:line="300" w:lineRule="auto"/>
              <w:ind w:left="142"/>
              <w:jc w:val="both"/>
              <w:rPr>
                <w:rFonts w:ascii="Calibri" w:hAnsi="Calibri" w:cs="Arial"/>
                <w:b/>
                <w:bCs/>
                <w:sz w:val="22"/>
                <w:szCs w:val="22"/>
              </w:rPr>
            </w:pPr>
            <w:r w:rsidRPr="00323AC2">
              <w:rPr>
                <w:rFonts w:ascii="Calibri" w:hAnsi="Calibri" w:cs="Arial"/>
                <w:b/>
                <w:bCs/>
                <w:sz w:val="22"/>
                <w:szCs w:val="22"/>
              </w:rPr>
              <w:t>VIII</w:t>
            </w:r>
          </w:p>
        </w:tc>
        <w:tc>
          <w:tcPr>
            <w:tcW w:w="2961" w:type="dxa"/>
          </w:tcPr>
          <w:p w:rsidR="00AB338C" w:rsidRPr="00323AC2" w:rsidRDefault="00AB338C" w:rsidP="00AB338C">
            <w:pPr>
              <w:spacing w:before="120" w:line="300" w:lineRule="auto"/>
              <w:jc w:val="both"/>
              <w:rPr>
                <w:rFonts w:ascii="Calibri" w:hAnsi="Calibri" w:cs="Arial"/>
                <w:sz w:val="22"/>
                <w:szCs w:val="22"/>
              </w:rPr>
            </w:pPr>
            <w:r w:rsidRPr="00323AC2">
              <w:rPr>
                <w:rFonts w:ascii="Calibri" w:hAnsi="Calibri" w:cs="Arial"/>
                <w:sz w:val="22"/>
                <w:szCs w:val="22"/>
              </w:rPr>
              <w:t>Activos financieros</w:t>
            </w:r>
          </w:p>
        </w:tc>
        <w:tc>
          <w:tcPr>
            <w:tcW w:w="1583"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110.000,00</w:t>
            </w:r>
          </w:p>
        </w:tc>
        <w:tc>
          <w:tcPr>
            <w:tcW w:w="1583" w:type="dxa"/>
            <w:vAlign w:val="center"/>
          </w:tcPr>
          <w:p w:rsidR="00AB338C" w:rsidRPr="00323AC2" w:rsidRDefault="00AB338C" w:rsidP="00AB338C">
            <w:pPr>
              <w:jc w:val="right"/>
              <w:rPr>
                <w:rFonts w:ascii="Calibri" w:hAnsi="Calibri"/>
                <w:sz w:val="22"/>
                <w:szCs w:val="22"/>
              </w:rPr>
            </w:pPr>
            <w:r w:rsidRPr="00323AC2">
              <w:rPr>
                <w:rFonts w:ascii="Calibri" w:hAnsi="Calibri"/>
                <w:sz w:val="22"/>
                <w:szCs w:val="22"/>
              </w:rPr>
              <w:t>110.000,00</w:t>
            </w:r>
          </w:p>
        </w:tc>
        <w:tc>
          <w:tcPr>
            <w:tcW w:w="1144"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0,00%</w:t>
            </w:r>
          </w:p>
        </w:tc>
      </w:tr>
      <w:tr w:rsidR="00AB338C" w:rsidRPr="00323AC2" w:rsidTr="00AB338C">
        <w:trPr>
          <w:trHeight w:val="510"/>
          <w:jc w:val="center"/>
        </w:trPr>
        <w:tc>
          <w:tcPr>
            <w:tcW w:w="1057" w:type="dxa"/>
            <w:tcBorders>
              <w:top w:val="single" w:sz="6" w:space="0" w:color="000000"/>
              <w:bottom w:val="single" w:sz="12" w:space="0" w:color="000000"/>
            </w:tcBorders>
            <w:shd w:val="clear" w:color="auto" w:fill="DBE5F1" w:themeFill="accent1" w:themeFillTint="33"/>
          </w:tcPr>
          <w:p w:rsidR="00AB338C" w:rsidRPr="00323AC2" w:rsidRDefault="00AB338C" w:rsidP="00AB338C">
            <w:pPr>
              <w:spacing w:before="120" w:line="300" w:lineRule="auto"/>
              <w:jc w:val="both"/>
              <w:rPr>
                <w:rFonts w:ascii="Calibri" w:hAnsi="Calibri" w:cs="Arial"/>
                <w:b/>
                <w:bCs/>
                <w:sz w:val="22"/>
                <w:szCs w:val="22"/>
              </w:rPr>
            </w:pPr>
          </w:p>
        </w:tc>
        <w:tc>
          <w:tcPr>
            <w:tcW w:w="2961" w:type="dxa"/>
            <w:tcBorders>
              <w:top w:val="single" w:sz="6" w:space="0" w:color="000000"/>
              <w:bottom w:val="single" w:sz="12" w:space="0" w:color="000000"/>
            </w:tcBorders>
          </w:tcPr>
          <w:p w:rsidR="00AB338C" w:rsidRPr="00323AC2" w:rsidRDefault="00AB338C" w:rsidP="00AB338C">
            <w:pPr>
              <w:spacing w:before="120" w:line="300" w:lineRule="auto"/>
              <w:jc w:val="both"/>
              <w:rPr>
                <w:rFonts w:ascii="Calibri" w:hAnsi="Calibri" w:cs="Arial"/>
                <w:b/>
                <w:sz w:val="22"/>
                <w:szCs w:val="22"/>
              </w:rPr>
            </w:pPr>
            <w:r w:rsidRPr="00323AC2">
              <w:rPr>
                <w:rFonts w:ascii="Calibri" w:hAnsi="Calibri" w:cs="Arial"/>
                <w:b/>
                <w:sz w:val="22"/>
                <w:szCs w:val="22"/>
              </w:rPr>
              <w:t>TOTAL ESTADO INGRESOS</w:t>
            </w:r>
          </w:p>
        </w:tc>
        <w:tc>
          <w:tcPr>
            <w:tcW w:w="1583" w:type="dxa"/>
            <w:tcBorders>
              <w:top w:val="single" w:sz="6" w:space="0" w:color="000000"/>
              <w:bottom w:val="single" w:sz="12" w:space="0" w:color="000000"/>
            </w:tcBorders>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19.870.626,84</w:t>
            </w:r>
          </w:p>
        </w:tc>
        <w:tc>
          <w:tcPr>
            <w:tcW w:w="1583" w:type="dxa"/>
            <w:tcBorders>
              <w:top w:val="single" w:sz="6" w:space="0" w:color="000000"/>
              <w:bottom w:val="single" w:sz="12" w:space="0" w:color="000000"/>
            </w:tcBorders>
            <w:vAlign w:val="center"/>
          </w:tcPr>
          <w:p w:rsidR="00AB338C" w:rsidRPr="00323AC2" w:rsidRDefault="00AB338C" w:rsidP="00AB338C">
            <w:pPr>
              <w:jc w:val="right"/>
              <w:rPr>
                <w:rFonts w:ascii="Calibri" w:hAnsi="Calibri"/>
                <w:b/>
                <w:bCs/>
                <w:sz w:val="22"/>
                <w:szCs w:val="22"/>
              </w:rPr>
            </w:pPr>
            <w:r>
              <w:rPr>
                <w:rFonts w:ascii="Calibri" w:hAnsi="Calibri"/>
                <w:b/>
                <w:bCs/>
                <w:sz w:val="22"/>
                <w:szCs w:val="22"/>
              </w:rPr>
              <w:t>19.256.379,94</w:t>
            </w:r>
          </w:p>
        </w:tc>
        <w:tc>
          <w:tcPr>
            <w:tcW w:w="1144" w:type="dxa"/>
            <w:tcBorders>
              <w:top w:val="single" w:sz="6" w:space="0" w:color="000000"/>
              <w:bottom w:val="single" w:sz="12" w:space="0" w:color="000000"/>
            </w:tcBorders>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3,19%</w:t>
            </w:r>
          </w:p>
        </w:tc>
      </w:tr>
    </w:tbl>
    <w:p w:rsidR="00AB338C" w:rsidRDefault="00AB338C" w:rsidP="00AB338C">
      <w:pPr>
        <w:spacing w:before="120" w:line="300" w:lineRule="auto"/>
        <w:ind w:firstLine="709"/>
        <w:jc w:val="both"/>
        <w:rPr>
          <w:rFonts w:ascii="Calibri" w:hAnsi="Calibri" w:cs="Arial"/>
          <w:bCs/>
          <w:sz w:val="22"/>
          <w:szCs w:val="22"/>
        </w:rPr>
      </w:pPr>
    </w:p>
    <w:p w:rsidR="00AB338C" w:rsidRDefault="00AB338C" w:rsidP="00AB338C">
      <w:pPr>
        <w:spacing w:before="120" w:line="300" w:lineRule="auto"/>
        <w:ind w:firstLine="709"/>
        <w:jc w:val="both"/>
        <w:rPr>
          <w:rFonts w:ascii="Calibri" w:hAnsi="Calibri" w:cs="Arial"/>
          <w:bCs/>
          <w:sz w:val="22"/>
          <w:szCs w:val="22"/>
        </w:rPr>
      </w:pPr>
    </w:p>
    <w:p w:rsidR="00AB338C" w:rsidRDefault="00AB338C" w:rsidP="00AB338C">
      <w:pPr>
        <w:spacing w:before="120" w:line="300" w:lineRule="auto"/>
        <w:ind w:firstLine="709"/>
        <w:jc w:val="both"/>
        <w:rPr>
          <w:rFonts w:ascii="Calibri" w:hAnsi="Calibri" w:cs="Arial"/>
          <w:bCs/>
          <w:sz w:val="22"/>
          <w:szCs w:val="22"/>
        </w:rPr>
      </w:pPr>
    </w:p>
    <w:p w:rsidR="00AB338C" w:rsidRPr="00323AC2" w:rsidRDefault="00AB338C" w:rsidP="00AB338C">
      <w:pPr>
        <w:spacing w:before="120" w:line="300" w:lineRule="auto"/>
        <w:ind w:firstLine="709"/>
        <w:jc w:val="both"/>
        <w:rPr>
          <w:rFonts w:ascii="Calibri" w:hAnsi="Calibri" w:cs="Arial"/>
          <w:bCs/>
          <w:sz w:val="22"/>
          <w:szCs w:val="22"/>
        </w:rPr>
      </w:pPr>
    </w:p>
    <w:p w:rsidR="00AB338C" w:rsidRPr="00323AC2" w:rsidRDefault="00AB338C" w:rsidP="00AB338C">
      <w:pPr>
        <w:pStyle w:val="Prrafodelista"/>
        <w:numPr>
          <w:ilvl w:val="0"/>
          <w:numId w:val="1"/>
        </w:numPr>
        <w:spacing w:before="120" w:line="300" w:lineRule="auto"/>
        <w:jc w:val="both"/>
        <w:rPr>
          <w:rFonts w:ascii="Calibri" w:hAnsi="Calibri" w:cs="Arial"/>
          <w:bCs/>
          <w:sz w:val="22"/>
          <w:szCs w:val="22"/>
        </w:rPr>
      </w:pPr>
      <w:r w:rsidRPr="00323AC2">
        <w:rPr>
          <w:rFonts w:ascii="Calibri" w:hAnsi="Calibri" w:cs="Arial"/>
          <w:b/>
          <w:bCs/>
          <w:sz w:val="22"/>
          <w:szCs w:val="22"/>
        </w:rPr>
        <w:t>Capítulo III</w:t>
      </w:r>
      <w:r w:rsidRPr="00323AC2">
        <w:rPr>
          <w:rFonts w:ascii="Calibri" w:hAnsi="Calibri" w:cs="Arial"/>
          <w:bCs/>
          <w:sz w:val="22"/>
          <w:szCs w:val="22"/>
        </w:rPr>
        <w:t>, Tasas y otros ingresos.</w:t>
      </w:r>
    </w:p>
    <w:p w:rsidR="00AB338C" w:rsidRPr="00323AC2" w:rsidRDefault="00AB338C" w:rsidP="00AB338C">
      <w:pPr>
        <w:spacing w:before="120" w:line="300" w:lineRule="auto"/>
        <w:ind w:firstLine="709"/>
        <w:jc w:val="both"/>
        <w:rPr>
          <w:rFonts w:ascii="Calibri" w:hAnsi="Calibri" w:cs="Arial"/>
          <w:bCs/>
          <w:sz w:val="22"/>
          <w:szCs w:val="22"/>
        </w:rPr>
      </w:pPr>
      <w:r w:rsidRPr="00323AC2">
        <w:rPr>
          <w:rFonts w:ascii="Calibri" w:hAnsi="Calibri" w:cs="Arial"/>
          <w:bCs/>
          <w:sz w:val="22"/>
          <w:szCs w:val="22"/>
        </w:rPr>
        <w:t>La previsión de ingresos en este capítulo está principalmente formada por la cantidad recibida anualmente por la Gestora de conciertos para la contribución a los servicios de extinción de incendios A.I.E. (UNESPA), que se estima en 2.</w:t>
      </w:r>
      <w:r>
        <w:rPr>
          <w:rFonts w:ascii="Calibri" w:hAnsi="Calibri" w:cs="Arial"/>
          <w:bCs/>
          <w:sz w:val="22"/>
          <w:szCs w:val="22"/>
        </w:rPr>
        <w:t>30</w:t>
      </w:r>
      <w:r w:rsidRPr="00323AC2">
        <w:rPr>
          <w:rFonts w:ascii="Calibri" w:hAnsi="Calibri" w:cs="Arial"/>
          <w:bCs/>
          <w:sz w:val="22"/>
          <w:szCs w:val="22"/>
        </w:rPr>
        <w:t>0.000 euros</w:t>
      </w:r>
      <w:r>
        <w:rPr>
          <w:rFonts w:ascii="Calibri" w:hAnsi="Calibri" w:cs="Arial"/>
          <w:bCs/>
          <w:sz w:val="22"/>
          <w:szCs w:val="22"/>
        </w:rPr>
        <w:t xml:space="preserve"> para 2020</w:t>
      </w:r>
      <w:r w:rsidRPr="00323AC2">
        <w:rPr>
          <w:rFonts w:ascii="Calibri" w:hAnsi="Calibri" w:cs="Arial"/>
          <w:bCs/>
          <w:sz w:val="22"/>
          <w:szCs w:val="22"/>
        </w:rPr>
        <w:t xml:space="preserve">. </w:t>
      </w:r>
    </w:p>
    <w:p w:rsidR="00AB338C" w:rsidRPr="00323AC2" w:rsidRDefault="00AB338C" w:rsidP="00AB338C">
      <w:pPr>
        <w:spacing w:before="120" w:line="300" w:lineRule="auto"/>
        <w:ind w:firstLine="709"/>
        <w:jc w:val="both"/>
        <w:rPr>
          <w:rFonts w:ascii="Calibri" w:hAnsi="Calibri" w:cs="Arial"/>
          <w:bCs/>
          <w:sz w:val="22"/>
          <w:szCs w:val="22"/>
        </w:rPr>
      </w:pPr>
      <w:r>
        <w:rPr>
          <w:rFonts w:ascii="Calibri" w:hAnsi="Calibri" w:cs="Arial"/>
          <w:bCs/>
          <w:sz w:val="22"/>
          <w:szCs w:val="22"/>
        </w:rPr>
        <w:t>E</w:t>
      </w:r>
      <w:r w:rsidRPr="00323AC2">
        <w:rPr>
          <w:rFonts w:ascii="Calibri" w:hAnsi="Calibri" w:cs="Arial"/>
          <w:bCs/>
          <w:sz w:val="22"/>
          <w:szCs w:val="22"/>
        </w:rPr>
        <w:t>n lo que se refiere a las tasas por prestación de servicios, se prevé un aumento con respecto al ejercicio anterior. El importe presupuestado para 20</w:t>
      </w:r>
      <w:r>
        <w:rPr>
          <w:rFonts w:ascii="Calibri" w:hAnsi="Calibri" w:cs="Arial"/>
          <w:bCs/>
          <w:sz w:val="22"/>
          <w:szCs w:val="22"/>
        </w:rPr>
        <w:t>20 se estima en 20</w:t>
      </w:r>
      <w:r w:rsidRPr="00323AC2">
        <w:rPr>
          <w:rFonts w:ascii="Calibri" w:hAnsi="Calibri" w:cs="Arial"/>
          <w:bCs/>
          <w:sz w:val="22"/>
          <w:szCs w:val="22"/>
        </w:rPr>
        <w:t xml:space="preserve">0.000 euros. </w:t>
      </w:r>
    </w:p>
    <w:p w:rsidR="00AB338C" w:rsidRPr="00323AC2" w:rsidRDefault="00AB338C" w:rsidP="00AB338C">
      <w:pPr>
        <w:spacing w:before="120" w:line="300" w:lineRule="auto"/>
        <w:ind w:firstLine="709"/>
        <w:jc w:val="both"/>
        <w:rPr>
          <w:rFonts w:ascii="Calibri" w:hAnsi="Calibri" w:cs="Arial"/>
          <w:bCs/>
          <w:sz w:val="22"/>
          <w:szCs w:val="22"/>
        </w:rPr>
      </w:pPr>
      <w:r>
        <w:rPr>
          <w:rFonts w:ascii="Calibri" w:hAnsi="Calibri" w:cs="Arial"/>
          <w:bCs/>
          <w:sz w:val="22"/>
          <w:szCs w:val="22"/>
        </w:rPr>
        <w:t>En cuanto a l</w:t>
      </w:r>
      <w:r w:rsidRPr="00323AC2">
        <w:rPr>
          <w:rFonts w:ascii="Calibri" w:hAnsi="Calibri" w:cs="Arial"/>
          <w:bCs/>
          <w:sz w:val="22"/>
          <w:szCs w:val="22"/>
        </w:rPr>
        <w:t>os precios públicos</w:t>
      </w:r>
      <w:r>
        <w:rPr>
          <w:rFonts w:ascii="Calibri" w:hAnsi="Calibri" w:cs="Arial"/>
          <w:bCs/>
          <w:sz w:val="22"/>
          <w:szCs w:val="22"/>
        </w:rPr>
        <w:t xml:space="preserve">, no se prevé variación con respecto al año anterior, por lo que se mantienen en </w:t>
      </w:r>
      <w:r w:rsidRPr="00323AC2">
        <w:rPr>
          <w:rFonts w:ascii="Calibri" w:hAnsi="Calibri" w:cs="Arial"/>
          <w:bCs/>
          <w:sz w:val="22"/>
          <w:szCs w:val="22"/>
        </w:rPr>
        <w:t>30.000 euros.</w:t>
      </w:r>
    </w:p>
    <w:p w:rsidR="00AB338C" w:rsidRDefault="00AB338C" w:rsidP="00AB338C">
      <w:pPr>
        <w:spacing w:before="120" w:after="120" w:line="300" w:lineRule="auto"/>
        <w:ind w:firstLine="709"/>
        <w:jc w:val="both"/>
        <w:rPr>
          <w:rFonts w:ascii="Calibri" w:hAnsi="Calibri" w:cs="Arial"/>
          <w:b/>
          <w:bCs/>
          <w:sz w:val="22"/>
          <w:szCs w:val="22"/>
        </w:rPr>
      </w:pPr>
      <w:r w:rsidRPr="00323AC2">
        <w:rPr>
          <w:rFonts w:ascii="Calibri" w:hAnsi="Calibri" w:cs="Arial"/>
          <w:bCs/>
          <w:sz w:val="22"/>
          <w:szCs w:val="22"/>
        </w:rPr>
        <w:t xml:space="preserve">La previsión de ingresos de este Capítulo III supone un incremento con respecto al </w:t>
      </w:r>
      <w:r w:rsidRPr="00F83FFC">
        <w:rPr>
          <w:rFonts w:ascii="Calibri" w:hAnsi="Calibri" w:cs="Arial"/>
          <w:bCs/>
          <w:sz w:val="22"/>
          <w:szCs w:val="22"/>
        </w:rPr>
        <w:t xml:space="preserve">ejercicio anterior del </w:t>
      </w:r>
      <w:r>
        <w:rPr>
          <w:rFonts w:ascii="Calibri" w:hAnsi="Calibri" w:cs="Arial"/>
          <w:bCs/>
          <w:sz w:val="22"/>
          <w:szCs w:val="22"/>
        </w:rPr>
        <w:t>5,86</w:t>
      </w:r>
      <w:r w:rsidRPr="00F83FFC">
        <w:rPr>
          <w:rFonts w:ascii="Calibri" w:hAnsi="Calibri" w:cs="Arial"/>
          <w:bCs/>
          <w:sz w:val="22"/>
          <w:szCs w:val="22"/>
        </w:rPr>
        <w:t xml:space="preserve">%, siendo el peso total en el presupuesto de ingresos del </w:t>
      </w:r>
      <w:r>
        <w:rPr>
          <w:rFonts w:ascii="Calibri" w:hAnsi="Calibri" w:cs="Arial"/>
          <w:b/>
          <w:bCs/>
          <w:sz w:val="22"/>
          <w:szCs w:val="22"/>
        </w:rPr>
        <w:t>12,73</w:t>
      </w:r>
      <w:r w:rsidRPr="00F83FFC">
        <w:rPr>
          <w:rFonts w:ascii="Calibri" w:hAnsi="Calibri" w:cs="Arial"/>
          <w:b/>
          <w:bCs/>
          <w:sz w:val="22"/>
          <w:szCs w:val="22"/>
        </w:rPr>
        <w:t>%.</w:t>
      </w:r>
    </w:p>
    <w:tbl>
      <w:tblPr>
        <w:tblW w:w="8542" w:type="dxa"/>
        <w:tblCellMar>
          <w:left w:w="70" w:type="dxa"/>
          <w:right w:w="70" w:type="dxa"/>
        </w:tblCellMar>
        <w:tblLook w:val="04A0"/>
      </w:tblPr>
      <w:tblGrid>
        <w:gridCol w:w="851"/>
        <w:gridCol w:w="3118"/>
        <w:gridCol w:w="1134"/>
        <w:gridCol w:w="1194"/>
        <w:gridCol w:w="1187"/>
        <w:gridCol w:w="171"/>
        <w:gridCol w:w="887"/>
      </w:tblGrid>
      <w:tr w:rsidR="00AB338C" w:rsidRPr="008500FB" w:rsidTr="00AB338C">
        <w:trPr>
          <w:trHeight w:val="255"/>
        </w:trPr>
        <w:tc>
          <w:tcPr>
            <w:tcW w:w="851"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Concepto</w:t>
            </w:r>
          </w:p>
        </w:tc>
        <w:tc>
          <w:tcPr>
            <w:tcW w:w="3118"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Denominación</w:t>
            </w:r>
          </w:p>
        </w:tc>
        <w:tc>
          <w:tcPr>
            <w:tcW w:w="1134"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2020</w:t>
            </w:r>
          </w:p>
        </w:tc>
        <w:tc>
          <w:tcPr>
            <w:tcW w:w="1194"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2019</w:t>
            </w:r>
          </w:p>
        </w:tc>
        <w:tc>
          <w:tcPr>
            <w:tcW w:w="1187"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 2020-2019</w:t>
            </w:r>
          </w:p>
        </w:tc>
        <w:tc>
          <w:tcPr>
            <w:tcW w:w="171"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center"/>
              <w:rPr>
                <w:rFonts w:ascii="Calibri" w:hAnsi="Calibri"/>
                <w:b/>
                <w:bCs/>
                <w:color w:val="000000"/>
                <w:sz w:val="18"/>
                <w:szCs w:val="18"/>
              </w:rPr>
            </w:pPr>
          </w:p>
        </w:tc>
        <w:tc>
          <w:tcPr>
            <w:tcW w:w="887"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rPr>
                <w:rFonts w:ascii="Calibri" w:hAnsi="Calibri"/>
                <w:b/>
                <w:bCs/>
                <w:sz w:val="18"/>
                <w:szCs w:val="18"/>
              </w:rPr>
            </w:pPr>
            <w:r w:rsidRPr="008500FB">
              <w:rPr>
                <w:rFonts w:ascii="Calibri" w:hAnsi="Calibri"/>
                <w:b/>
                <w:bCs/>
                <w:sz w:val="18"/>
                <w:szCs w:val="18"/>
              </w:rPr>
              <w:t>% TOTAL</w:t>
            </w:r>
          </w:p>
        </w:tc>
      </w:tr>
      <w:tr w:rsidR="00AB338C" w:rsidRPr="008500FB" w:rsidTr="00AB338C">
        <w:trPr>
          <w:trHeight w:val="255"/>
        </w:trPr>
        <w:tc>
          <w:tcPr>
            <w:tcW w:w="851"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306</w:t>
            </w:r>
          </w:p>
        </w:tc>
        <w:tc>
          <w:tcPr>
            <w:tcW w:w="3118" w:type="dxa"/>
            <w:tcBorders>
              <w:top w:val="nil"/>
              <w:left w:val="nil"/>
              <w:bottom w:val="nil"/>
              <w:right w:val="nil"/>
            </w:tcBorders>
            <w:shd w:val="clear" w:color="auto" w:fill="auto"/>
            <w:noWrap/>
            <w:vAlign w:val="bottom"/>
            <w:hideMark/>
          </w:tcPr>
          <w:p w:rsidR="00AB338C" w:rsidRPr="008500FB" w:rsidRDefault="00AB338C" w:rsidP="00AB338C">
            <w:pPr>
              <w:autoSpaceDE/>
              <w:autoSpaceDN/>
              <w:rPr>
                <w:rFonts w:ascii="Calibri" w:hAnsi="Calibri"/>
                <w:color w:val="000000"/>
                <w:sz w:val="18"/>
                <w:szCs w:val="18"/>
              </w:rPr>
            </w:pPr>
            <w:r w:rsidRPr="008500FB">
              <w:rPr>
                <w:rFonts w:ascii="Calibri" w:hAnsi="Calibri"/>
                <w:color w:val="000000"/>
                <w:sz w:val="18"/>
                <w:szCs w:val="18"/>
              </w:rPr>
              <w:t>Tasas por prestación de servicios</w:t>
            </w:r>
          </w:p>
        </w:tc>
        <w:tc>
          <w:tcPr>
            <w:tcW w:w="113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sz w:val="18"/>
                <w:szCs w:val="18"/>
              </w:rPr>
            </w:pPr>
            <w:r w:rsidRPr="008500FB">
              <w:rPr>
                <w:rFonts w:ascii="Calibri" w:hAnsi="Calibri"/>
                <w:sz w:val="18"/>
                <w:szCs w:val="18"/>
              </w:rPr>
              <w:t>200.000,00</w:t>
            </w:r>
          </w:p>
        </w:tc>
        <w:tc>
          <w:tcPr>
            <w:tcW w:w="119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180.000,00</w:t>
            </w:r>
          </w:p>
        </w:tc>
        <w:tc>
          <w:tcPr>
            <w:tcW w:w="1187"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11,11%</w:t>
            </w:r>
          </w:p>
        </w:tc>
        <w:tc>
          <w:tcPr>
            <w:tcW w:w="171"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p>
        </w:tc>
        <w:tc>
          <w:tcPr>
            <w:tcW w:w="887"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1,01%</w:t>
            </w:r>
          </w:p>
        </w:tc>
      </w:tr>
      <w:tr w:rsidR="00AB338C" w:rsidRPr="008500FB" w:rsidTr="00AB338C">
        <w:trPr>
          <w:trHeight w:val="255"/>
        </w:trPr>
        <w:tc>
          <w:tcPr>
            <w:tcW w:w="851"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346</w:t>
            </w:r>
          </w:p>
        </w:tc>
        <w:tc>
          <w:tcPr>
            <w:tcW w:w="3118" w:type="dxa"/>
            <w:tcBorders>
              <w:top w:val="nil"/>
              <w:left w:val="nil"/>
              <w:bottom w:val="nil"/>
              <w:right w:val="nil"/>
            </w:tcBorders>
            <w:shd w:val="clear" w:color="auto" w:fill="auto"/>
            <w:noWrap/>
            <w:vAlign w:val="bottom"/>
            <w:hideMark/>
          </w:tcPr>
          <w:p w:rsidR="00AB338C" w:rsidRPr="008500FB" w:rsidRDefault="00AB338C" w:rsidP="00AB338C">
            <w:pPr>
              <w:autoSpaceDE/>
              <w:autoSpaceDN/>
              <w:rPr>
                <w:rFonts w:ascii="Calibri" w:hAnsi="Calibri"/>
                <w:color w:val="000000"/>
                <w:sz w:val="18"/>
                <w:szCs w:val="18"/>
              </w:rPr>
            </w:pPr>
            <w:r w:rsidRPr="008500FB">
              <w:rPr>
                <w:rFonts w:ascii="Calibri" w:hAnsi="Calibri"/>
                <w:color w:val="000000"/>
                <w:sz w:val="18"/>
                <w:szCs w:val="18"/>
              </w:rPr>
              <w:t>Precios públicos</w:t>
            </w:r>
          </w:p>
        </w:tc>
        <w:tc>
          <w:tcPr>
            <w:tcW w:w="113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sz w:val="18"/>
                <w:szCs w:val="18"/>
              </w:rPr>
            </w:pPr>
            <w:r w:rsidRPr="008500FB">
              <w:rPr>
                <w:rFonts w:ascii="Calibri" w:hAnsi="Calibri"/>
                <w:sz w:val="18"/>
                <w:szCs w:val="18"/>
              </w:rPr>
              <w:t>30.000,00</w:t>
            </w:r>
          </w:p>
        </w:tc>
        <w:tc>
          <w:tcPr>
            <w:tcW w:w="119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30.000,00</w:t>
            </w:r>
          </w:p>
        </w:tc>
        <w:tc>
          <w:tcPr>
            <w:tcW w:w="1187"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0,00%</w:t>
            </w:r>
          </w:p>
        </w:tc>
        <w:tc>
          <w:tcPr>
            <w:tcW w:w="171"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p>
        </w:tc>
        <w:tc>
          <w:tcPr>
            <w:tcW w:w="887"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0,15%</w:t>
            </w:r>
          </w:p>
        </w:tc>
      </w:tr>
      <w:tr w:rsidR="00AB338C" w:rsidRPr="008500FB" w:rsidTr="00AB338C">
        <w:trPr>
          <w:trHeight w:val="255"/>
        </w:trPr>
        <w:tc>
          <w:tcPr>
            <w:tcW w:w="851"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351</w:t>
            </w:r>
          </w:p>
        </w:tc>
        <w:tc>
          <w:tcPr>
            <w:tcW w:w="3118" w:type="dxa"/>
            <w:tcBorders>
              <w:top w:val="nil"/>
              <w:left w:val="nil"/>
              <w:bottom w:val="nil"/>
              <w:right w:val="nil"/>
            </w:tcBorders>
            <w:shd w:val="clear" w:color="auto" w:fill="auto"/>
            <w:noWrap/>
            <w:vAlign w:val="bottom"/>
            <w:hideMark/>
          </w:tcPr>
          <w:p w:rsidR="00AB338C" w:rsidRPr="008500FB" w:rsidRDefault="00AB338C" w:rsidP="00AB338C">
            <w:pPr>
              <w:autoSpaceDE/>
              <w:autoSpaceDN/>
              <w:rPr>
                <w:rFonts w:ascii="Calibri" w:hAnsi="Calibri"/>
                <w:color w:val="000000"/>
                <w:sz w:val="18"/>
                <w:szCs w:val="18"/>
              </w:rPr>
            </w:pPr>
            <w:r w:rsidRPr="008500FB">
              <w:rPr>
                <w:rFonts w:ascii="Calibri" w:hAnsi="Calibri"/>
                <w:color w:val="000000"/>
                <w:sz w:val="18"/>
                <w:szCs w:val="18"/>
              </w:rPr>
              <w:t>Contribuciones especiales para servicios</w:t>
            </w:r>
          </w:p>
        </w:tc>
        <w:tc>
          <w:tcPr>
            <w:tcW w:w="113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sz w:val="18"/>
                <w:szCs w:val="18"/>
              </w:rPr>
            </w:pPr>
            <w:r w:rsidRPr="008500FB">
              <w:rPr>
                <w:rFonts w:ascii="Calibri" w:hAnsi="Calibri"/>
                <w:sz w:val="18"/>
                <w:szCs w:val="18"/>
              </w:rPr>
              <w:t>2.300.000,00</w:t>
            </w:r>
          </w:p>
        </w:tc>
        <w:tc>
          <w:tcPr>
            <w:tcW w:w="119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2.180.000,00</w:t>
            </w:r>
          </w:p>
        </w:tc>
        <w:tc>
          <w:tcPr>
            <w:tcW w:w="1187"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5,50%</w:t>
            </w:r>
          </w:p>
        </w:tc>
        <w:tc>
          <w:tcPr>
            <w:tcW w:w="171"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p>
        </w:tc>
        <w:tc>
          <w:tcPr>
            <w:tcW w:w="887"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11,</w:t>
            </w:r>
            <w:r>
              <w:rPr>
                <w:rFonts w:ascii="Calibri" w:hAnsi="Calibri"/>
                <w:color w:val="000000"/>
                <w:sz w:val="18"/>
                <w:szCs w:val="18"/>
              </w:rPr>
              <w:t>57</w:t>
            </w:r>
            <w:r w:rsidRPr="008500FB">
              <w:rPr>
                <w:rFonts w:ascii="Calibri" w:hAnsi="Calibri"/>
                <w:color w:val="000000"/>
                <w:sz w:val="18"/>
                <w:szCs w:val="18"/>
              </w:rPr>
              <w:t>%</w:t>
            </w:r>
          </w:p>
        </w:tc>
      </w:tr>
      <w:tr w:rsidR="00AB338C" w:rsidRPr="008500FB" w:rsidTr="00AB338C">
        <w:trPr>
          <w:trHeight w:val="255"/>
        </w:trPr>
        <w:tc>
          <w:tcPr>
            <w:tcW w:w="851"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 </w:t>
            </w:r>
          </w:p>
        </w:tc>
        <w:tc>
          <w:tcPr>
            <w:tcW w:w="3118"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rPr>
                <w:rFonts w:ascii="Calibri" w:hAnsi="Calibri"/>
                <w:b/>
                <w:bCs/>
                <w:color w:val="000000"/>
                <w:sz w:val="18"/>
                <w:szCs w:val="18"/>
              </w:rPr>
            </w:pPr>
            <w:r w:rsidRPr="008500FB">
              <w:rPr>
                <w:rFonts w:ascii="Calibri" w:hAnsi="Calibri"/>
                <w:b/>
                <w:bCs/>
                <w:color w:val="000000"/>
                <w:sz w:val="18"/>
                <w:szCs w:val="18"/>
              </w:rPr>
              <w:t xml:space="preserve">Capítulo III </w:t>
            </w:r>
          </w:p>
        </w:tc>
        <w:tc>
          <w:tcPr>
            <w:tcW w:w="1134"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sz w:val="18"/>
                <w:szCs w:val="18"/>
              </w:rPr>
            </w:pPr>
            <w:r w:rsidRPr="008500FB">
              <w:rPr>
                <w:rFonts w:ascii="Calibri" w:hAnsi="Calibri"/>
                <w:b/>
                <w:bCs/>
                <w:sz w:val="18"/>
                <w:szCs w:val="18"/>
              </w:rPr>
              <w:t>2.530.000,00</w:t>
            </w:r>
          </w:p>
        </w:tc>
        <w:tc>
          <w:tcPr>
            <w:tcW w:w="1194"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color w:val="000000"/>
                <w:sz w:val="18"/>
                <w:szCs w:val="18"/>
              </w:rPr>
            </w:pPr>
            <w:r w:rsidRPr="008500FB">
              <w:rPr>
                <w:rFonts w:ascii="Calibri" w:hAnsi="Calibri"/>
                <w:b/>
                <w:bCs/>
                <w:color w:val="000000"/>
                <w:sz w:val="18"/>
                <w:szCs w:val="18"/>
              </w:rPr>
              <w:t>2.390.000,00</w:t>
            </w:r>
          </w:p>
        </w:tc>
        <w:tc>
          <w:tcPr>
            <w:tcW w:w="1187"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color w:val="000000"/>
                <w:sz w:val="18"/>
                <w:szCs w:val="18"/>
              </w:rPr>
            </w:pPr>
            <w:r w:rsidRPr="008500FB">
              <w:rPr>
                <w:rFonts w:ascii="Calibri" w:hAnsi="Calibri"/>
                <w:b/>
                <w:bCs/>
                <w:color w:val="000000"/>
                <w:sz w:val="18"/>
                <w:szCs w:val="18"/>
              </w:rPr>
              <w:t>5,86%</w:t>
            </w:r>
          </w:p>
        </w:tc>
        <w:tc>
          <w:tcPr>
            <w:tcW w:w="171"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color w:val="000000"/>
                <w:sz w:val="18"/>
                <w:szCs w:val="18"/>
              </w:rPr>
            </w:pPr>
          </w:p>
        </w:tc>
        <w:tc>
          <w:tcPr>
            <w:tcW w:w="887"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color w:val="000000"/>
                <w:sz w:val="18"/>
                <w:szCs w:val="18"/>
              </w:rPr>
            </w:pPr>
            <w:r w:rsidRPr="008500FB">
              <w:rPr>
                <w:rFonts w:ascii="Calibri" w:hAnsi="Calibri"/>
                <w:b/>
                <w:bCs/>
                <w:color w:val="000000"/>
                <w:sz w:val="18"/>
                <w:szCs w:val="18"/>
              </w:rPr>
              <w:t>12,</w:t>
            </w:r>
            <w:r>
              <w:rPr>
                <w:rFonts w:ascii="Calibri" w:hAnsi="Calibri"/>
                <w:b/>
                <w:bCs/>
                <w:color w:val="000000"/>
                <w:sz w:val="18"/>
                <w:szCs w:val="18"/>
              </w:rPr>
              <w:t>73</w:t>
            </w:r>
            <w:r w:rsidRPr="008500FB">
              <w:rPr>
                <w:rFonts w:ascii="Calibri" w:hAnsi="Calibri"/>
                <w:b/>
                <w:bCs/>
                <w:color w:val="000000"/>
                <w:sz w:val="18"/>
                <w:szCs w:val="18"/>
              </w:rPr>
              <w:t>%</w:t>
            </w:r>
          </w:p>
        </w:tc>
      </w:tr>
    </w:tbl>
    <w:p w:rsidR="00AB338C" w:rsidRPr="00F83FFC" w:rsidRDefault="00AB338C" w:rsidP="00AB338C">
      <w:pPr>
        <w:spacing w:before="120" w:line="300" w:lineRule="auto"/>
        <w:ind w:firstLine="709"/>
        <w:jc w:val="both"/>
        <w:rPr>
          <w:rFonts w:ascii="Calibri" w:hAnsi="Calibri" w:cs="Arial"/>
          <w:bCs/>
          <w:sz w:val="22"/>
          <w:szCs w:val="22"/>
        </w:rPr>
      </w:pPr>
    </w:p>
    <w:p w:rsidR="00AB338C" w:rsidRPr="00F83FFC" w:rsidRDefault="00AB338C" w:rsidP="00AB338C">
      <w:pPr>
        <w:pStyle w:val="Prrafodelista"/>
        <w:numPr>
          <w:ilvl w:val="0"/>
          <w:numId w:val="1"/>
        </w:numPr>
        <w:spacing w:before="120" w:line="300" w:lineRule="auto"/>
        <w:jc w:val="both"/>
        <w:rPr>
          <w:rFonts w:ascii="Calibri" w:hAnsi="Calibri" w:cs="Arial"/>
          <w:bCs/>
          <w:sz w:val="22"/>
          <w:szCs w:val="22"/>
        </w:rPr>
      </w:pPr>
      <w:r w:rsidRPr="00F83FFC">
        <w:rPr>
          <w:rFonts w:ascii="Calibri" w:hAnsi="Calibri" w:cs="Arial"/>
          <w:bCs/>
          <w:sz w:val="22"/>
          <w:szCs w:val="22"/>
        </w:rPr>
        <w:t xml:space="preserve">El </w:t>
      </w:r>
      <w:r w:rsidRPr="00F83FFC">
        <w:rPr>
          <w:rFonts w:ascii="Calibri" w:hAnsi="Calibri" w:cs="Arial"/>
          <w:b/>
          <w:bCs/>
          <w:sz w:val="22"/>
          <w:szCs w:val="22"/>
        </w:rPr>
        <w:t>Capítulo IV, Transferencias corrientes.</w:t>
      </w:r>
    </w:p>
    <w:p w:rsidR="00AB338C" w:rsidRDefault="00AB338C" w:rsidP="00AB338C">
      <w:pPr>
        <w:spacing w:after="120" w:line="300" w:lineRule="auto"/>
        <w:ind w:firstLine="709"/>
        <w:jc w:val="both"/>
        <w:rPr>
          <w:rFonts w:ascii="Calibri" w:hAnsi="Calibri" w:cs="Arial"/>
          <w:bCs/>
          <w:sz w:val="22"/>
          <w:szCs w:val="22"/>
        </w:rPr>
      </w:pPr>
      <w:r w:rsidRPr="00F83FFC">
        <w:rPr>
          <w:rFonts w:ascii="Calibri" w:hAnsi="Calibri" w:cs="Arial"/>
          <w:bCs/>
          <w:sz w:val="22"/>
          <w:szCs w:val="22"/>
        </w:rPr>
        <w:t xml:space="preserve">En este capítulo, que supone el </w:t>
      </w:r>
      <w:r>
        <w:rPr>
          <w:rFonts w:ascii="Calibri" w:hAnsi="Calibri" w:cs="Arial"/>
          <w:b/>
          <w:bCs/>
          <w:sz w:val="22"/>
          <w:szCs w:val="22"/>
        </w:rPr>
        <w:t>84,59</w:t>
      </w:r>
      <w:r w:rsidRPr="00F83FFC">
        <w:rPr>
          <w:rFonts w:ascii="Calibri" w:hAnsi="Calibri" w:cs="Arial"/>
          <w:b/>
          <w:bCs/>
          <w:sz w:val="22"/>
          <w:szCs w:val="22"/>
        </w:rPr>
        <w:t>%</w:t>
      </w:r>
      <w:r w:rsidRPr="00F83FFC">
        <w:rPr>
          <w:rFonts w:ascii="Calibri" w:hAnsi="Calibri" w:cs="Arial"/>
          <w:bCs/>
          <w:sz w:val="22"/>
          <w:szCs w:val="22"/>
        </w:rPr>
        <w:t xml:space="preserve"> del presupuesto de ingresos, se recogen las transferencias corrientes de los miembros del Consorcio y de los ayuntamientos no consorciados, siendo la principal fuente de financiación de este Consorcio.</w:t>
      </w:r>
    </w:p>
    <w:tbl>
      <w:tblPr>
        <w:tblW w:w="8505" w:type="dxa"/>
        <w:tblCellMar>
          <w:left w:w="70" w:type="dxa"/>
          <w:right w:w="70" w:type="dxa"/>
        </w:tblCellMar>
        <w:tblLook w:val="04A0"/>
      </w:tblPr>
      <w:tblGrid>
        <w:gridCol w:w="940"/>
        <w:gridCol w:w="3029"/>
        <w:gridCol w:w="1195"/>
        <w:gridCol w:w="1215"/>
        <w:gridCol w:w="1134"/>
        <w:gridCol w:w="160"/>
        <w:gridCol w:w="832"/>
      </w:tblGrid>
      <w:tr w:rsidR="00AB338C" w:rsidRPr="008500FB" w:rsidTr="00AB338C">
        <w:trPr>
          <w:trHeight w:val="255"/>
        </w:trPr>
        <w:tc>
          <w:tcPr>
            <w:tcW w:w="940" w:type="dxa"/>
            <w:tcBorders>
              <w:top w:val="nil"/>
              <w:left w:val="nil"/>
              <w:bottom w:val="nil"/>
              <w:right w:val="nil"/>
            </w:tcBorders>
            <w:shd w:val="clear" w:color="auto" w:fill="DBE5F1" w:themeFill="accent1" w:themeFillTint="33"/>
            <w:noWrap/>
            <w:vAlign w:val="bottom"/>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Concepto</w:t>
            </w:r>
          </w:p>
        </w:tc>
        <w:tc>
          <w:tcPr>
            <w:tcW w:w="3029" w:type="dxa"/>
            <w:tcBorders>
              <w:top w:val="nil"/>
              <w:left w:val="nil"/>
              <w:bottom w:val="nil"/>
              <w:right w:val="nil"/>
            </w:tcBorders>
            <w:shd w:val="clear" w:color="auto" w:fill="DBE5F1" w:themeFill="accent1" w:themeFillTint="33"/>
            <w:noWrap/>
            <w:vAlign w:val="bottom"/>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Denominación</w:t>
            </w:r>
          </w:p>
        </w:tc>
        <w:tc>
          <w:tcPr>
            <w:tcW w:w="1195" w:type="dxa"/>
            <w:tcBorders>
              <w:top w:val="nil"/>
              <w:left w:val="nil"/>
              <w:bottom w:val="nil"/>
              <w:right w:val="nil"/>
            </w:tcBorders>
            <w:shd w:val="clear" w:color="auto" w:fill="DBE5F1" w:themeFill="accent1" w:themeFillTint="33"/>
            <w:noWrap/>
            <w:vAlign w:val="bottom"/>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2020</w:t>
            </w:r>
          </w:p>
        </w:tc>
        <w:tc>
          <w:tcPr>
            <w:tcW w:w="1215" w:type="dxa"/>
            <w:tcBorders>
              <w:top w:val="nil"/>
              <w:left w:val="nil"/>
              <w:bottom w:val="nil"/>
              <w:right w:val="nil"/>
            </w:tcBorders>
            <w:shd w:val="clear" w:color="auto" w:fill="DBE5F1" w:themeFill="accent1" w:themeFillTint="33"/>
            <w:noWrap/>
            <w:vAlign w:val="bottom"/>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2019</w:t>
            </w:r>
          </w:p>
        </w:tc>
        <w:tc>
          <w:tcPr>
            <w:tcW w:w="1134" w:type="dxa"/>
            <w:tcBorders>
              <w:top w:val="nil"/>
              <w:left w:val="nil"/>
              <w:bottom w:val="nil"/>
              <w:right w:val="nil"/>
            </w:tcBorders>
            <w:shd w:val="clear" w:color="auto" w:fill="DBE5F1" w:themeFill="accent1" w:themeFillTint="33"/>
            <w:noWrap/>
            <w:vAlign w:val="bottom"/>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 2020-2019</w:t>
            </w:r>
          </w:p>
        </w:tc>
        <w:tc>
          <w:tcPr>
            <w:tcW w:w="160" w:type="dxa"/>
            <w:tcBorders>
              <w:top w:val="nil"/>
              <w:left w:val="nil"/>
              <w:bottom w:val="nil"/>
              <w:right w:val="nil"/>
            </w:tcBorders>
            <w:shd w:val="clear" w:color="auto" w:fill="DBE5F1" w:themeFill="accent1" w:themeFillTint="33"/>
            <w:noWrap/>
            <w:vAlign w:val="bottom"/>
          </w:tcPr>
          <w:p w:rsidR="00AB338C" w:rsidRPr="008500FB" w:rsidRDefault="00AB338C" w:rsidP="00AB338C">
            <w:pPr>
              <w:autoSpaceDE/>
              <w:autoSpaceDN/>
              <w:jc w:val="center"/>
              <w:rPr>
                <w:rFonts w:ascii="Calibri" w:hAnsi="Calibri"/>
                <w:b/>
                <w:bCs/>
                <w:color w:val="000000"/>
                <w:sz w:val="18"/>
                <w:szCs w:val="18"/>
              </w:rPr>
            </w:pPr>
          </w:p>
        </w:tc>
        <w:tc>
          <w:tcPr>
            <w:tcW w:w="832" w:type="dxa"/>
            <w:tcBorders>
              <w:top w:val="nil"/>
              <w:left w:val="nil"/>
              <w:bottom w:val="nil"/>
              <w:right w:val="nil"/>
            </w:tcBorders>
            <w:shd w:val="clear" w:color="auto" w:fill="DBE5F1" w:themeFill="accent1" w:themeFillTint="33"/>
            <w:noWrap/>
            <w:vAlign w:val="bottom"/>
          </w:tcPr>
          <w:p w:rsidR="00AB338C" w:rsidRPr="008500FB" w:rsidRDefault="00AB338C" w:rsidP="00AB338C">
            <w:pPr>
              <w:autoSpaceDE/>
              <w:autoSpaceDN/>
              <w:rPr>
                <w:rFonts w:ascii="Calibri" w:hAnsi="Calibri"/>
                <w:b/>
                <w:bCs/>
                <w:sz w:val="18"/>
                <w:szCs w:val="18"/>
              </w:rPr>
            </w:pPr>
            <w:r w:rsidRPr="008500FB">
              <w:rPr>
                <w:rFonts w:ascii="Calibri" w:hAnsi="Calibri"/>
                <w:b/>
                <w:bCs/>
                <w:sz w:val="18"/>
                <w:szCs w:val="18"/>
              </w:rPr>
              <w:t>% TOTAL</w:t>
            </w:r>
          </w:p>
        </w:tc>
      </w:tr>
      <w:tr w:rsidR="00AB338C" w:rsidRPr="008500FB" w:rsidTr="00AB338C">
        <w:trPr>
          <w:trHeight w:val="255"/>
        </w:trPr>
        <w:tc>
          <w:tcPr>
            <w:tcW w:w="940"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450 80</w:t>
            </w:r>
          </w:p>
        </w:tc>
        <w:tc>
          <w:tcPr>
            <w:tcW w:w="3029" w:type="dxa"/>
            <w:tcBorders>
              <w:top w:val="nil"/>
              <w:left w:val="nil"/>
              <w:bottom w:val="nil"/>
              <w:right w:val="nil"/>
            </w:tcBorders>
            <w:shd w:val="clear" w:color="auto" w:fill="auto"/>
            <w:noWrap/>
            <w:vAlign w:val="bottom"/>
            <w:hideMark/>
          </w:tcPr>
          <w:p w:rsidR="00AB338C" w:rsidRPr="008500FB" w:rsidRDefault="00AB338C" w:rsidP="00AB338C">
            <w:pPr>
              <w:autoSpaceDE/>
              <w:autoSpaceDN/>
              <w:rPr>
                <w:rFonts w:ascii="Calibri" w:hAnsi="Calibri"/>
                <w:color w:val="000000"/>
                <w:sz w:val="18"/>
                <w:szCs w:val="18"/>
              </w:rPr>
            </w:pPr>
            <w:r w:rsidRPr="008500FB">
              <w:rPr>
                <w:rFonts w:ascii="Calibri" w:hAnsi="Calibri"/>
                <w:color w:val="000000"/>
                <w:sz w:val="18"/>
                <w:szCs w:val="18"/>
              </w:rPr>
              <w:t>Otras subven</w:t>
            </w:r>
            <w:r>
              <w:rPr>
                <w:rFonts w:ascii="Calibri" w:hAnsi="Calibri"/>
                <w:color w:val="000000"/>
                <w:sz w:val="18"/>
                <w:szCs w:val="18"/>
              </w:rPr>
              <w:t>ciones corrientes Comunidad Autó</w:t>
            </w:r>
            <w:r w:rsidRPr="008500FB">
              <w:rPr>
                <w:rFonts w:ascii="Calibri" w:hAnsi="Calibri"/>
                <w:color w:val="000000"/>
                <w:sz w:val="18"/>
                <w:szCs w:val="18"/>
              </w:rPr>
              <w:t>n</w:t>
            </w:r>
            <w:r>
              <w:rPr>
                <w:rFonts w:ascii="Calibri" w:hAnsi="Calibri"/>
                <w:color w:val="000000"/>
                <w:sz w:val="18"/>
                <w:szCs w:val="18"/>
              </w:rPr>
              <w:t>oma</w:t>
            </w:r>
            <w:r w:rsidRPr="008500FB">
              <w:rPr>
                <w:rFonts w:ascii="Calibri" w:hAnsi="Calibri"/>
                <w:color w:val="000000"/>
                <w:sz w:val="18"/>
                <w:szCs w:val="18"/>
              </w:rPr>
              <w:t>.</w:t>
            </w:r>
          </w:p>
        </w:tc>
        <w:tc>
          <w:tcPr>
            <w:tcW w:w="1195"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sz w:val="18"/>
                <w:szCs w:val="18"/>
              </w:rPr>
            </w:pPr>
            <w:r w:rsidRPr="008500FB">
              <w:rPr>
                <w:rFonts w:ascii="Calibri" w:hAnsi="Calibri"/>
                <w:sz w:val="18"/>
                <w:szCs w:val="18"/>
              </w:rPr>
              <w:t>1.801.374,00</w:t>
            </w:r>
          </w:p>
        </w:tc>
        <w:tc>
          <w:tcPr>
            <w:tcW w:w="1215"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1.801.374,00</w:t>
            </w:r>
          </w:p>
        </w:tc>
        <w:tc>
          <w:tcPr>
            <w:tcW w:w="113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0,00%</w:t>
            </w:r>
          </w:p>
        </w:tc>
        <w:tc>
          <w:tcPr>
            <w:tcW w:w="160"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p>
        </w:tc>
        <w:tc>
          <w:tcPr>
            <w:tcW w:w="832"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9,</w:t>
            </w:r>
            <w:r>
              <w:rPr>
                <w:rFonts w:ascii="Calibri" w:hAnsi="Calibri"/>
                <w:color w:val="000000"/>
                <w:sz w:val="18"/>
                <w:szCs w:val="18"/>
              </w:rPr>
              <w:t>07</w:t>
            </w:r>
            <w:r w:rsidRPr="008500FB">
              <w:rPr>
                <w:rFonts w:ascii="Calibri" w:hAnsi="Calibri"/>
                <w:color w:val="000000"/>
                <w:sz w:val="18"/>
                <w:szCs w:val="18"/>
              </w:rPr>
              <w:t>%</w:t>
            </w:r>
          </w:p>
        </w:tc>
      </w:tr>
      <w:tr w:rsidR="00AB338C" w:rsidRPr="008500FB" w:rsidTr="00AB338C">
        <w:trPr>
          <w:trHeight w:val="255"/>
        </w:trPr>
        <w:tc>
          <w:tcPr>
            <w:tcW w:w="940"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461 01</w:t>
            </w:r>
          </w:p>
        </w:tc>
        <w:tc>
          <w:tcPr>
            <w:tcW w:w="3029" w:type="dxa"/>
            <w:tcBorders>
              <w:top w:val="nil"/>
              <w:left w:val="nil"/>
              <w:bottom w:val="nil"/>
              <w:right w:val="nil"/>
            </w:tcBorders>
            <w:shd w:val="clear" w:color="auto" w:fill="auto"/>
            <w:noWrap/>
            <w:vAlign w:val="bottom"/>
            <w:hideMark/>
          </w:tcPr>
          <w:p w:rsidR="00AB338C" w:rsidRPr="008500FB" w:rsidRDefault="00AB338C" w:rsidP="00AB338C">
            <w:pPr>
              <w:autoSpaceDE/>
              <w:autoSpaceDN/>
              <w:rPr>
                <w:rFonts w:ascii="Calibri" w:hAnsi="Calibri"/>
                <w:color w:val="000000"/>
                <w:sz w:val="18"/>
                <w:szCs w:val="18"/>
              </w:rPr>
            </w:pPr>
            <w:r w:rsidRPr="008500FB">
              <w:rPr>
                <w:rFonts w:ascii="Calibri" w:hAnsi="Calibri"/>
                <w:color w:val="000000"/>
                <w:sz w:val="18"/>
                <w:szCs w:val="18"/>
              </w:rPr>
              <w:t>Transferencias corrientes del Cabildo</w:t>
            </w:r>
          </w:p>
        </w:tc>
        <w:tc>
          <w:tcPr>
            <w:tcW w:w="1195"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sz w:val="18"/>
                <w:szCs w:val="18"/>
              </w:rPr>
            </w:pPr>
            <w:r w:rsidRPr="008500FB">
              <w:rPr>
                <w:rFonts w:ascii="Calibri" w:hAnsi="Calibri"/>
                <w:sz w:val="18"/>
                <w:szCs w:val="18"/>
              </w:rPr>
              <w:t>5.962.780,61</w:t>
            </w:r>
          </w:p>
        </w:tc>
        <w:tc>
          <w:tcPr>
            <w:tcW w:w="1215"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5.279.953,82</w:t>
            </w:r>
          </w:p>
        </w:tc>
        <w:tc>
          <w:tcPr>
            <w:tcW w:w="113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12,93%</w:t>
            </w:r>
          </w:p>
        </w:tc>
        <w:tc>
          <w:tcPr>
            <w:tcW w:w="160"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p>
        </w:tc>
        <w:tc>
          <w:tcPr>
            <w:tcW w:w="832"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30,</w:t>
            </w:r>
            <w:r>
              <w:rPr>
                <w:rFonts w:ascii="Calibri" w:hAnsi="Calibri"/>
                <w:color w:val="000000"/>
                <w:sz w:val="18"/>
                <w:szCs w:val="18"/>
              </w:rPr>
              <w:t>01</w:t>
            </w:r>
            <w:r w:rsidRPr="008500FB">
              <w:rPr>
                <w:rFonts w:ascii="Calibri" w:hAnsi="Calibri"/>
                <w:color w:val="000000"/>
                <w:sz w:val="18"/>
                <w:szCs w:val="18"/>
              </w:rPr>
              <w:t>%</w:t>
            </w:r>
          </w:p>
        </w:tc>
      </w:tr>
      <w:tr w:rsidR="00AB338C" w:rsidRPr="008500FB" w:rsidTr="00AB338C">
        <w:trPr>
          <w:trHeight w:val="255"/>
        </w:trPr>
        <w:tc>
          <w:tcPr>
            <w:tcW w:w="940"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461 01</w:t>
            </w:r>
          </w:p>
        </w:tc>
        <w:tc>
          <w:tcPr>
            <w:tcW w:w="3029" w:type="dxa"/>
            <w:tcBorders>
              <w:top w:val="nil"/>
              <w:left w:val="nil"/>
              <w:bottom w:val="nil"/>
              <w:right w:val="nil"/>
            </w:tcBorders>
            <w:shd w:val="clear" w:color="auto" w:fill="auto"/>
            <w:noWrap/>
            <w:vAlign w:val="bottom"/>
            <w:hideMark/>
          </w:tcPr>
          <w:p w:rsidR="00AB338C" w:rsidRPr="008500FB" w:rsidRDefault="00AB338C" w:rsidP="00AB338C">
            <w:pPr>
              <w:autoSpaceDE/>
              <w:autoSpaceDN/>
              <w:rPr>
                <w:rFonts w:ascii="Calibri" w:hAnsi="Calibri"/>
                <w:color w:val="000000"/>
                <w:sz w:val="18"/>
                <w:szCs w:val="18"/>
              </w:rPr>
            </w:pPr>
            <w:r w:rsidRPr="008500FB">
              <w:rPr>
                <w:rFonts w:ascii="Calibri" w:hAnsi="Calibri"/>
                <w:color w:val="000000"/>
                <w:sz w:val="18"/>
                <w:szCs w:val="18"/>
              </w:rPr>
              <w:t>Transferencias Ayuntamientos no consorciados</w:t>
            </w:r>
          </w:p>
        </w:tc>
        <w:tc>
          <w:tcPr>
            <w:tcW w:w="1195"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sz w:val="18"/>
                <w:szCs w:val="18"/>
              </w:rPr>
            </w:pPr>
            <w:r w:rsidRPr="008500FB">
              <w:rPr>
                <w:rFonts w:ascii="Calibri" w:hAnsi="Calibri"/>
                <w:sz w:val="18"/>
                <w:szCs w:val="18"/>
              </w:rPr>
              <w:t>227.623,99</w:t>
            </w:r>
          </w:p>
        </w:tc>
        <w:tc>
          <w:tcPr>
            <w:tcW w:w="1215"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234.221,68</w:t>
            </w:r>
          </w:p>
        </w:tc>
        <w:tc>
          <w:tcPr>
            <w:tcW w:w="113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-2,82%</w:t>
            </w:r>
          </w:p>
        </w:tc>
        <w:tc>
          <w:tcPr>
            <w:tcW w:w="160"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p>
        </w:tc>
        <w:tc>
          <w:tcPr>
            <w:tcW w:w="832"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1,15%</w:t>
            </w:r>
          </w:p>
        </w:tc>
      </w:tr>
      <w:tr w:rsidR="00AB338C" w:rsidRPr="008500FB" w:rsidTr="00AB338C">
        <w:trPr>
          <w:trHeight w:val="255"/>
        </w:trPr>
        <w:tc>
          <w:tcPr>
            <w:tcW w:w="940" w:type="dxa"/>
            <w:tcBorders>
              <w:top w:val="nil"/>
              <w:left w:val="nil"/>
              <w:bottom w:val="nil"/>
              <w:right w:val="nil"/>
            </w:tcBorders>
            <w:shd w:val="clear" w:color="auto" w:fill="auto"/>
            <w:noWrap/>
            <w:vAlign w:val="bottom"/>
          </w:tcPr>
          <w:p w:rsidR="00AB338C" w:rsidRPr="008500FB" w:rsidRDefault="00AB338C" w:rsidP="00AB338C">
            <w:pPr>
              <w:autoSpaceDE/>
              <w:autoSpaceDN/>
              <w:jc w:val="right"/>
              <w:rPr>
                <w:rFonts w:ascii="Calibri" w:hAnsi="Calibri"/>
                <w:color w:val="000000"/>
                <w:sz w:val="18"/>
                <w:szCs w:val="18"/>
              </w:rPr>
            </w:pPr>
            <w:r>
              <w:rPr>
                <w:rFonts w:ascii="Calibri" w:hAnsi="Calibri"/>
                <w:color w:val="000000"/>
                <w:sz w:val="18"/>
                <w:szCs w:val="18"/>
              </w:rPr>
              <w:t>461 01</w:t>
            </w:r>
          </w:p>
        </w:tc>
        <w:tc>
          <w:tcPr>
            <w:tcW w:w="3029" w:type="dxa"/>
            <w:tcBorders>
              <w:top w:val="nil"/>
              <w:left w:val="nil"/>
              <w:bottom w:val="nil"/>
              <w:right w:val="nil"/>
            </w:tcBorders>
            <w:shd w:val="clear" w:color="auto" w:fill="auto"/>
            <w:noWrap/>
            <w:vAlign w:val="bottom"/>
          </w:tcPr>
          <w:p w:rsidR="00AB338C" w:rsidRPr="008500FB" w:rsidRDefault="00AB338C" w:rsidP="00AB338C">
            <w:pPr>
              <w:autoSpaceDE/>
              <w:autoSpaceDN/>
              <w:rPr>
                <w:rFonts w:ascii="Calibri" w:hAnsi="Calibri"/>
                <w:color w:val="000000"/>
                <w:sz w:val="18"/>
                <w:szCs w:val="18"/>
              </w:rPr>
            </w:pPr>
            <w:r>
              <w:rPr>
                <w:rFonts w:ascii="Calibri" w:hAnsi="Calibri"/>
                <w:color w:val="000000"/>
                <w:sz w:val="18"/>
                <w:szCs w:val="18"/>
              </w:rPr>
              <w:t>Aportación específica corriente ABV</w:t>
            </w:r>
          </w:p>
        </w:tc>
        <w:tc>
          <w:tcPr>
            <w:tcW w:w="1195" w:type="dxa"/>
            <w:tcBorders>
              <w:top w:val="nil"/>
              <w:left w:val="nil"/>
              <w:bottom w:val="nil"/>
              <w:right w:val="nil"/>
            </w:tcBorders>
            <w:shd w:val="clear" w:color="auto" w:fill="auto"/>
            <w:noWrap/>
            <w:vAlign w:val="bottom"/>
          </w:tcPr>
          <w:p w:rsidR="00AB338C" w:rsidRPr="008500FB" w:rsidRDefault="00AB338C" w:rsidP="00AB338C">
            <w:pPr>
              <w:autoSpaceDE/>
              <w:autoSpaceDN/>
              <w:jc w:val="right"/>
              <w:rPr>
                <w:rFonts w:ascii="Calibri" w:hAnsi="Calibri"/>
                <w:sz w:val="18"/>
                <w:szCs w:val="18"/>
              </w:rPr>
            </w:pPr>
            <w:r>
              <w:rPr>
                <w:rFonts w:ascii="Calibri" w:hAnsi="Calibri"/>
                <w:sz w:val="18"/>
                <w:szCs w:val="18"/>
              </w:rPr>
              <w:t>100.000,00</w:t>
            </w:r>
          </w:p>
        </w:tc>
        <w:tc>
          <w:tcPr>
            <w:tcW w:w="1215" w:type="dxa"/>
            <w:tcBorders>
              <w:top w:val="nil"/>
              <w:left w:val="nil"/>
              <w:bottom w:val="nil"/>
              <w:right w:val="nil"/>
            </w:tcBorders>
            <w:shd w:val="clear" w:color="auto" w:fill="auto"/>
            <w:noWrap/>
            <w:vAlign w:val="bottom"/>
          </w:tcPr>
          <w:p w:rsidR="00AB338C" w:rsidRPr="008500FB" w:rsidRDefault="00AB338C" w:rsidP="00AB338C">
            <w:pPr>
              <w:autoSpaceDE/>
              <w:autoSpaceDN/>
              <w:jc w:val="right"/>
              <w:rPr>
                <w:rFonts w:ascii="Calibri" w:hAnsi="Calibri"/>
                <w:color w:val="000000"/>
                <w:sz w:val="18"/>
                <w:szCs w:val="18"/>
              </w:rPr>
            </w:pPr>
            <w:r>
              <w:rPr>
                <w:rFonts w:ascii="Calibri" w:hAnsi="Calibri"/>
                <w:color w:val="000000"/>
                <w:sz w:val="18"/>
                <w:szCs w:val="18"/>
              </w:rPr>
              <w:t>-</w:t>
            </w:r>
          </w:p>
        </w:tc>
        <w:tc>
          <w:tcPr>
            <w:tcW w:w="1134" w:type="dxa"/>
            <w:tcBorders>
              <w:top w:val="nil"/>
              <w:left w:val="nil"/>
              <w:bottom w:val="nil"/>
              <w:right w:val="nil"/>
            </w:tcBorders>
            <w:shd w:val="clear" w:color="auto" w:fill="auto"/>
            <w:noWrap/>
            <w:vAlign w:val="bottom"/>
          </w:tcPr>
          <w:p w:rsidR="00AB338C" w:rsidRPr="008500FB" w:rsidRDefault="00AB338C" w:rsidP="00AB338C">
            <w:pPr>
              <w:autoSpaceDE/>
              <w:autoSpaceDN/>
              <w:jc w:val="right"/>
              <w:rPr>
                <w:rFonts w:ascii="Calibri" w:hAnsi="Calibri"/>
                <w:color w:val="000000"/>
                <w:sz w:val="18"/>
                <w:szCs w:val="18"/>
              </w:rPr>
            </w:pPr>
            <w:r>
              <w:rPr>
                <w:rFonts w:ascii="Calibri" w:hAnsi="Calibri"/>
                <w:color w:val="000000"/>
                <w:sz w:val="18"/>
                <w:szCs w:val="18"/>
              </w:rPr>
              <w:t>-</w:t>
            </w:r>
          </w:p>
        </w:tc>
        <w:tc>
          <w:tcPr>
            <w:tcW w:w="160" w:type="dxa"/>
            <w:tcBorders>
              <w:top w:val="nil"/>
              <w:left w:val="nil"/>
              <w:bottom w:val="nil"/>
              <w:right w:val="nil"/>
            </w:tcBorders>
            <w:shd w:val="clear" w:color="auto" w:fill="auto"/>
            <w:noWrap/>
            <w:vAlign w:val="bottom"/>
          </w:tcPr>
          <w:p w:rsidR="00AB338C" w:rsidRPr="008500FB" w:rsidRDefault="00AB338C" w:rsidP="00AB338C">
            <w:pPr>
              <w:autoSpaceDE/>
              <w:autoSpaceDN/>
              <w:jc w:val="right"/>
              <w:rPr>
                <w:rFonts w:ascii="Calibri" w:hAnsi="Calibri"/>
                <w:color w:val="000000"/>
                <w:sz w:val="18"/>
                <w:szCs w:val="18"/>
              </w:rPr>
            </w:pPr>
          </w:p>
        </w:tc>
        <w:tc>
          <w:tcPr>
            <w:tcW w:w="832" w:type="dxa"/>
            <w:tcBorders>
              <w:top w:val="nil"/>
              <w:left w:val="nil"/>
              <w:bottom w:val="nil"/>
              <w:right w:val="nil"/>
            </w:tcBorders>
            <w:shd w:val="clear" w:color="auto" w:fill="auto"/>
            <w:noWrap/>
            <w:vAlign w:val="bottom"/>
          </w:tcPr>
          <w:p w:rsidR="00AB338C" w:rsidRPr="008500FB" w:rsidRDefault="00AB338C" w:rsidP="00AB338C">
            <w:pPr>
              <w:autoSpaceDE/>
              <w:autoSpaceDN/>
              <w:jc w:val="right"/>
              <w:rPr>
                <w:rFonts w:ascii="Calibri" w:hAnsi="Calibri"/>
                <w:color w:val="000000"/>
                <w:sz w:val="18"/>
                <w:szCs w:val="18"/>
              </w:rPr>
            </w:pPr>
            <w:r>
              <w:rPr>
                <w:rFonts w:ascii="Calibri" w:hAnsi="Calibri"/>
                <w:color w:val="000000"/>
                <w:sz w:val="18"/>
                <w:szCs w:val="18"/>
              </w:rPr>
              <w:t>0,50%</w:t>
            </w:r>
          </w:p>
        </w:tc>
      </w:tr>
      <w:tr w:rsidR="00AB338C" w:rsidRPr="008500FB" w:rsidTr="00AB338C">
        <w:trPr>
          <w:trHeight w:val="255"/>
        </w:trPr>
        <w:tc>
          <w:tcPr>
            <w:tcW w:w="940"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462 02</w:t>
            </w:r>
          </w:p>
        </w:tc>
        <w:tc>
          <w:tcPr>
            <w:tcW w:w="3029" w:type="dxa"/>
            <w:tcBorders>
              <w:top w:val="nil"/>
              <w:left w:val="nil"/>
              <w:bottom w:val="nil"/>
              <w:right w:val="nil"/>
            </w:tcBorders>
            <w:shd w:val="clear" w:color="auto" w:fill="auto"/>
            <w:noWrap/>
            <w:vAlign w:val="bottom"/>
            <w:hideMark/>
          </w:tcPr>
          <w:p w:rsidR="00AB338C" w:rsidRPr="008500FB" w:rsidRDefault="00AB338C" w:rsidP="00AB338C">
            <w:pPr>
              <w:autoSpaceDE/>
              <w:autoSpaceDN/>
              <w:rPr>
                <w:rFonts w:ascii="Calibri" w:hAnsi="Calibri"/>
                <w:color w:val="000000"/>
                <w:sz w:val="18"/>
                <w:szCs w:val="18"/>
              </w:rPr>
            </w:pPr>
            <w:r w:rsidRPr="008500FB">
              <w:rPr>
                <w:rFonts w:ascii="Calibri" w:hAnsi="Calibri"/>
                <w:color w:val="000000"/>
                <w:sz w:val="18"/>
                <w:szCs w:val="18"/>
              </w:rPr>
              <w:t>Transferencias Ayuntamientos consorciados</w:t>
            </w:r>
          </w:p>
        </w:tc>
        <w:tc>
          <w:tcPr>
            <w:tcW w:w="1195"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sz w:val="18"/>
                <w:szCs w:val="18"/>
              </w:rPr>
            </w:pPr>
            <w:r w:rsidRPr="008500FB">
              <w:rPr>
                <w:rFonts w:ascii="Calibri" w:hAnsi="Calibri"/>
                <w:sz w:val="18"/>
                <w:szCs w:val="18"/>
              </w:rPr>
              <w:t>8.716.546,92</w:t>
            </w:r>
          </w:p>
        </w:tc>
        <w:tc>
          <w:tcPr>
            <w:tcW w:w="1215"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8.509.887,89</w:t>
            </w:r>
          </w:p>
        </w:tc>
        <w:tc>
          <w:tcPr>
            <w:tcW w:w="1134"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sidRPr="008500FB">
              <w:rPr>
                <w:rFonts w:ascii="Calibri" w:hAnsi="Calibri"/>
                <w:color w:val="000000"/>
                <w:sz w:val="18"/>
                <w:szCs w:val="18"/>
              </w:rPr>
              <w:t>2,43%</w:t>
            </w:r>
          </w:p>
        </w:tc>
        <w:tc>
          <w:tcPr>
            <w:tcW w:w="160"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p>
        </w:tc>
        <w:tc>
          <w:tcPr>
            <w:tcW w:w="832" w:type="dxa"/>
            <w:tcBorders>
              <w:top w:val="nil"/>
              <w:left w:val="nil"/>
              <w:bottom w:val="nil"/>
              <w:right w:val="nil"/>
            </w:tcBorders>
            <w:shd w:val="clear" w:color="auto" w:fill="auto"/>
            <w:noWrap/>
            <w:vAlign w:val="bottom"/>
            <w:hideMark/>
          </w:tcPr>
          <w:p w:rsidR="00AB338C" w:rsidRPr="008500FB" w:rsidRDefault="00AB338C" w:rsidP="00AB338C">
            <w:pPr>
              <w:autoSpaceDE/>
              <w:autoSpaceDN/>
              <w:jc w:val="right"/>
              <w:rPr>
                <w:rFonts w:ascii="Calibri" w:hAnsi="Calibri"/>
                <w:color w:val="000000"/>
                <w:sz w:val="18"/>
                <w:szCs w:val="18"/>
              </w:rPr>
            </w:pPr>
            <w:r>
              <w:rPr>
                <w:rFonts w:ascii="Calibri" w:hAnsi="Calibri"/>
                <w:color w:val="000000"/>
                <w:sz w:val="18"/>
                <w:szCs w:val="18"/>
              </w:rPr>
              <w:t>43,87</w:t>
            </w:r>
            <w:r w:rsidRPr="008500FB">
              <w:rPr>
                <w:rFonts w:ascii="Calibri" w:hAnsi="Calibri"/>
                <w:color w:val="000000"/>
                <w:sz w:val="18"/>
                <w:szCs w:val="18"/>
              </w:rPr>
              <w:t>%</w:t>
            </w:r>
          </w:p>
        </w:tc>
      </w:tr>
      <w:tr w:rsidR="00AB338C" w:rsidRPr="008500FB" w:rsidTr="00AB338C">
        <w:trPr>
          <w:trHeight w:val="255"/>
        </w:trPr>
        <w:tc>
          <w:tcPr>
            <w:tcW w:w="940"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center"/>
              <w:rPr>
                <w:rFonts w:ascii="Calibri" w:hAnsi="Calibri"/>
                <w:b/>
                <w:bCs/>
                <w:color w:val="000000"/>
                <w:sz w:val="18"/>
                <w:szCs w:val="18"/>
              </w:rPr>
            </w:pPr>
            <w:r w:rsidRPr="008500FB">
              <w:rPr>
                <w:rFonts w:ascii="Calibri" w:hAnsi="Calibri"/>
                <w:b/>
                <w:bCs/>
                <w:color w:val="000000"/>
                <w:sz w:val="18"/>
                <w:szCs w:val="18"/>
              </w:rPr>
              <w:t> </w:t>
            </w:r>
          </w:p>
        </w:tc>
        <w:tc>
          <w:tcPr>
            <w:tcW w:w="3029"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rPr>
                <w:rFonts w:ascii="Calibri" w:hAnsi="Calibri"/>
                <w:b/>
                <w:bCs/>
                <w:color w:val="000000"/>
                <w:sz w:val="18"/>
                <w:szCs w:val="18"/>
              </w:rPr>
            </w:pPr>
            <w:r w:rsidRPr="008500FB">
              <w:rPr>
                <w:rFonts w:ascii="Calibri" w:hAnsi="Calibri"/>
                <w:b/>
                <w:bCs/>
                <w:color w:val="000000"/>
                <w:sz w:val="18"/>
                <w:szCs w:val="18"/>
              </w:rPr>
              <w:t>Capítulo IV</w:t>
            </w:r>
          </w:p>
        </w:tc>
        <w:tc>
          <w:tcPr>
            <w:tcW w:w="1195"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sz w:val="18"/>
                <w:szCs w:val="18"/>
              </w:rPr>
            </w:pPr>
            <w:r w:rsidRPr="008500FB">
              <w:rPr>
                <w:rFonts w:ascii="Calibri" w:hAnsi="Calibri"/>
                <w:b/>
                <w:bCs/>
                <w:sz w:val="18"/>
                <w:szCs w:val="18"/>
              </w:rPr>
              <w:t>16.</w:t>
            </w:r>
            <w:r>
              <w:rPr>
                <w:rFonts w:ascii="Calibri" w:hAnsi="Calibri"/>
                <w:b/>
                <w:bCs/>
                <w:sz w:val="18"/>
                <w:szCs w:val="18"/>
              </w:rPr>
              <w:t>8</w:t>
            </w:r>
            <w:r w:rsidRPr="008500FB">
              <w:rPr>
                <w:rFonts w:ascii="Calibri" w:hAnsi="Calibri"/>
                <w:b/>
                <w:bCs/>
                <w:sz w:val="18"/>
                <w:szCs w:val="18"/>
              </w:rPr>
              <w:t>08.325,52</w:t>
            </w:r>
          </w:p>
        </w:tc>
        <w:tc>
          <w:tcPr>
            <w:tcW w:w="1215"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color w:val="000000"/>
                <w:sz w:val="18"/>
                <w:szCs w:val="18"/>
              </w:rPr>
            </w:pPr>
            <w:r w:rsidRPr="008500FB">
              <w:rPr>
                <w:rFonts w:ascii="Calibri" w:hAnsi="Calibri"/>
                <w:b/>
                <w:bCs/>
                <w:color w:val="000000"/>
                <w:sz w:val="18"/>
                <w:szCs w:val="18"/>
              </w:rPr>
              <w:t>15.825.437,39</w:t>
            </w:r>
          </w:p>
        </w:tc>
        <w:tc>
          <w:tcPr>
            <w:tcW w:w="1134"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color w:val="000000"/>
                <w:sz w:val="18"/>
                <w:szCs w:val="18"/>
              </w:rPr>
            </w:pPr>
            <w:r>
              <w:rPr>
                <w:rFonts w:ascii="Calibri" w:hAnsi="Calibri"/>
                <w:b/>
                <w:bCs/>
                <w:color w:val="000000"/>
                <w:sz w:val="18"/>
                <w:szCs w:val="18"/>
              </w:rPr>
              <w:t>6,21</w:t>
            </w:r>
            <w:r w:rsidRPr="008500FB">
              <w:rPr>
                <w:rFonts w:ascii="Calibri" w:hAnsi="Calibri"/>
                <w:b/>
                <w:bCs/>
                <w:color w:val="000000"/>
                <w:sz w:val="18"/>
                <w:szCs w:val="18"/>
              </w:rPr>
              <w:t>%</w:t>
            </w:r>
          </w:p>
        </w:tc>
        <w:tc>
          <w:tcPr>
            <w:tcW w:w="160"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color w:val="000000"/>
                <w:sz w:val="18"/>
                <w:szCs w:val="18"/>
              </w:rPr>
            </w:pPr>
          </w:p>
        </w:tc>
        <w:tc>
          <w:tcPr>
            <w:tcW w:w="832" w:type="dxa"/>
            <w:tcBorders>
              <w:top w:val="nil"/>
              <w:left w:val="nil"/>
              <w:bottom w:val="nil"/>
              <w:right w:val="nil"/>
            </w:tcBorders>
            <w:shd w:val="clear" w:color="auto" w:fill="DBE5F1" w:themeFill="accent1" w:themeFillTint="33"/>
            <w:noWrap/>
            <w:vAlign w:val="bottom"/>
            <w:hideMark/>
          </w:tcPr>
          <w:p w:rsidR="00AB338C" w:rsidRPr="008500FB" w:rsidRDefault="00AB338C" w:rsidP="00AB338C">
            <w:pPr>
              <w:autoSpaceDE/>
              <w:autoSpaceDN/>
              <w:jc w:val="right"/>
              <w:rPr>
                <w:rFonts w:ascii="Calibri" w:hAnsi="Calibri"/>
                <w:b/>
                <w:bCs/>
                <w:color w:val="000000"/>
                <w:sz w:val="18"/>
                <w:szCs w:val="18"/>
              </w:rPr>
            </w:pPr>
            <w:r>
              <w:rPr>
                <w:rFonts w:ascii="Calibri" w:hAnsi="Calibri"/>
                <w:b/>
                <w:bCs/>
                <w:color w:val="000000"/>
                <w:sz w:val="18"/>
                <w:szCs w:val="18"/>
              </w:rPr>
              <w:t>84,5</w:t>
            </w:r>
            <w:r w:rsidRPr="008500FB">
              <w:rPr>
                <w:rFonts w:ascii="Calibri" w:hAnsi="Calibri"/>
                <w:b/>
                <w:bCs/>
                <w:color w:val="000000"/>
                <w:sz w:val="18"/>
                <w:szCs w:val="18"/>
              </w:rPr>
              <w:t>9%</w:t>
            </w:r>
          </w:p>
        </w:tc>
      </w:tr>
    </w:tbl>
    <w:p w:rsidR="00AB338C" w:rsidRPr="00F83FFC" w:rsidRDefault="00AB338C" w:rsidP="00AB338C">
      <w:pPr>
        <w:spacing w:after="120" w:line="300" w:lineRule="auto"/>
        <w:ind w:firstLine="709"/>
        <w:jc w:val="both"/>
        <w:rPr>
          <w:rFonts w:ascii="Calibri" w:hAnsi="Calibri" w:cs="Arial"/>
          <w:bCs/>
          <w:sz w:val="22"/>
          <w:szCs w:val="22"/>
        </w:rPr>
      </w:pPr>
    </w:p>
    <w:p w:rsidR="00AB338C" w:rsidRPr="002076A8" w:rsidRDefault="00AB338C" w:rsidP="00AB338C">
      <w:pPr>
        <w:spacing w:after="120" w:line="300" w:lineRule="auto"/>
        <w:ind w:firstLine="709"/>
        <w:jc w:val="both"/>
        <w:rPr>
          <w:rFonts w:ascii="Calibri" w:hAnsi="Calibri" w:cs="Arial"/>
          <w:bCs/>
          <w:sz w:val="22"/>
          <w:szCs w:val="22"/>
        </w:rPr>
      </w:pPr>
      <w:r w:rsidRPr="002076A8">
        <w:rPr>
          <w:rFonts w:ascii="Calibri" w:hAnsi="Calibri" w:cs="Arial"/>
          <w:bCs/>
          <w:sz w:val="22"/>
          <w:szCs w:val="22"/>
        </w:rPr>
        <w:t>El artículo 30 de los Estatutos del Consorcio recoge el porcentaje de financiación de las aportaciones de sus administraciones consorciadas, incluyendo la de los ayuntamientos no consorciados.</w:t>
      </w:r>
      <w:r w:rsidR="005B1AC5">
        <w:rPr>
          <w:rFonts w:ascii="Calibri" w:hAnsi="Calibri" w:cs="Arial"/>
          <w:bCs/>
          <w:sz w:val="22"/>
          <w:szCs w:val="22"/>
        </w:rPr>
        <w:t xml:space="preserve"> </w:t>
      </w:r>
      <w:r w:rsidRPr="002076A8">
        <w:rPr>
          <w:rFonts w:ascii="Calibri" w:hAnsi="Calibri" w:cs="Arial"/>
          <w:bCs/>
          <w:sz w:val="22"/>
          <w:szCs w:val="22"/>
        </w:rPr>
        <w:t>Estas aportaciones, que tienen carácter finalista respecto del servicio público que se presta, están englobadas en dos grupos:</w:t>
      </w:r>
    </w:p>
    <w:p w:rsidR="00AB338C" w:rsidRPr="002076A8" w:rsidRDefault="00AB338C" w:rsidP="00AB338C">
      <w:pPr>
        <w:spacing w:line="300" w:lineRule="auto"/>
        <w:ind w:firstLine="709"/>
        <w:jc w:val="both"/>
        <w:rPr>
          <w:rFonts w:ascii="Calibri" w:hAnsi="Calibri" w:cs="Arial"/>
          <w:bCs/>
          <w:sz w:val="22"/>
          <w:szCs w:val="22"/>
        </w:rPr>
      </w:pPr>
    </w:p>
    <w:p w:rsidR="00AB338C" w:rsidRDefault="00AB338C" w:rsidP="00AB338C">
      <w:pPr>
        <w:spacing w:line="300" w:lineRule="auto"/>
        <w:ind w:firstLine="709"/>
        <w:jc w:val="both"/>
        <w:rPr>
          <w:rFonts w:ascii="Calibri" w:hAnsi="Calibri" w:cs="Arial"/>
          <w:bCs/>
          <w:sz w:val="22"/>
          <w:szCs w:val="22"/>
        </w:rPr>
      </w:pPr>
      <w:r w:rsidRPr="002076A8">
        <w:rPr>
          <w:rFonts w:ascii="Calibri" w:hAnsi="Calibri" w:cs="Arial"/>
          <w:bCs/>
          <w:sz w:val="22"/>
          <w:szCs w:val="22"/>
        </w:rPr>
        <w:lastRenderedPageBreak/>
        <w:t xml:space="preserve">1.- </w:t>
      </w:r>
      <w:r w:rsidRPr="002076A8">
        <w:rPr>
          <w:rFonts w:ascii="Calibri" w:hAnsi="Calibri" w:cs="Arial"/>
          <w:bCs/>
          <w:sz w:val="22"/>
          <w:szCs w:val="22"/>
          <w:u w:val="single"/>
        </w:rPr>
        <w:t>Entidades locales</w:t>
      </w:r>
      <w:r w:rsidRPr="002076A8">
        <w:rPr>
          <w:rFonts w:ascii="Calibri" w:hAnsi="Calibri" w:cs="Arial"/>
          <w:bCs/>
          <w:sz w:val="22"/>
          <w:szCs w:val="22"/>
        </w:rPr>
        <w:t>: El Excmo. Cabildo Insular de Tenerife y los 31 ayuntamientos de la isla de Tenerife.</w:t>
      </w:r>
    </w:p>
    <w:p w:rsidR="00AB338C" w:rsidRPr="002076A8" w:rsidRDefault="00AB338C" w:rsidP="00AB338C">
      <w:pPr>
        <w:spacing w:line="300" w:lineRule="auto"/>
        <w:ind w:firstLine="709"/>
        <w:jc w:val="both"/>
        <w:rPr>
          <w:rFonts w:ascii="Calibri" w:hAnsi="Calibri" w:cs="Arial"/>
          <w:bCs/>
          <w:sz w:val="22"/>
          <w:szCs w:val="22"/>
        </w:rPr>
      </w:pPr>
    </w:p>
    <w:p w:rsidR="00AB338C" w:rsidRDefault="00AB338C" w:rsidP="00AB338C">
      <w:pPr>
        <w:spacing w:after="120" w:line="300" w:lineRule="auto"/>
        <w:ind w:firstLine="709"/>
        <w:jc w:val="both"/>
        <w:rPr>
          <w:rFonts w:ascii="Calibri" w:hAnsi="Calibri" w:cs="Arial"/>
          <w:bCs/>
          <w:sz w:val="22"/>
          <w:szCs w:val="22"/>
        </w:rPr>
      </w:pPr>
      <w:r>
        <w:rPr>
          <w:rFonts w:ascii="Calibri" w:hAnsi="Calibri" w:cs="Arial"/>
          <w:bCs/>
          <w:sz w:val="22"/>
          <w:szCs w:val="22"/>
        </w:rPr>
        <w:t xml:space="preserve">En el ejercicio 2020, de los 31 ayuntamientos de la isla, 26 de ellos están consorciados. Los ayuntamientos no consorciados siguen siendo cinco: </w:t>
      </w:r>
      <w:r w:rsidRPr="002076A8">
        <w:rPr>
          <w:rFonts w:ascii="Calibri" w:hAnsi="Calibri" w:cs="Arial"/>
          <w:bCs/>
          <w:sz w:val="22"/>
          <w:szCs w:val="22"/>
        </w:rPr>
        <w:t>Buenavista del Norte, La Matanza de Ace</w:t>
      </w:r>
      <w:r>
        <w:rPr>
          <w:rFonts w:ascii="Calibri" w:hAnsi="Calibri" w:cs="Arial"/>
          <w:bCs/>
          <w:sz w:val="22"/>
          <w:szCs w:val="22"/>
        </w:rPr>
        <w:t xml:space="preserve">ntejo, La Victoria de Acentejo, </w:t>
      </w:r>
      <w:r w:rsidRPr="002076A8">
        <w:rPr>
          <w:rFonts w:ascii="Calibri" w:hAnsi="Calibri" w:cs="Arial"/>
          <w:bCs/>
          <w:sz w:val="22"/>
          <w:szCs w:val="22"/>
        </w:rPr>
        <w:t>El Tanque</w:t>
      </w:r>
      <w:r>
        <w:rPr>
          <w:rFonts w:ascii="Calibri" w:hAnsi="Calibri" w:cs="Arial"/>
          <w:bCs/>
          <w:sz w:val="22"/>
          <w:szCs w:val="22"/>
        </w:rPr>
        <w:t xml:space="preserve"> y Santiago del Teide. </w:t>
      </w:r>
    </w:p>
    <w:p w:rsidR="00AB338C" w:rsidRPr="002076A8" w:rsidRDefault="00AB338C" w:rsidP="00AB338C">
      <w:pPr>
        <w:spacing w:after="120" w:line="300" w:lineRule="auto"/>
        <w:ind w:firstLine="709"/>
        <w:jc w:val="both"/>
        <w:rPr>
          <w:rFonts w:ascii="Calibri" w:hAnsi="Calibri" w:cs="Arial"/>
          <w:bCs/>
          <w:sz w:val="22"/>
          <w:szCs w:val="22"/>
        </w:rPr>
      </w:pPr>
      <w:r w:rsidRPr="002076A8">
        <w:rPr>
          <w:rFonts w:ascii="Calibri" w:hAnsi="Calibri" w:cs="Arial"/>
          <w:bCs/>
          <w:sz w:val="22"/>
          <w:szCs w:val="22"/>
        </w:rPr>
        <w:t xml:space="preserve">Las </w:t>
      </w:r>
      <w:r>
        <w:rPr>
          <w:rFonts w:ascii="Calibri" w:hAnsi="Calibri" w:cs="Arial"/>
          <w:bCs/>
          <w:sz w:val="22"/>
          <w:szCs w:val="22"/>
        </w:rPr>
        <w:t>aportaciones que les corresponde</w:t>
      </w:r>
      <w:r w:rsidRPr="002076A8">
        <w:rPr>
          <w:rFonts w:ascii="Calibri" w:hAnsi="Calibri" w:cs="Arial"/>
          <w:bCs/>
          <w:sz w:val="22"/>
          <w:szCs w:val="22"/>
        </w:rPr>
        <w:t xml:space="preserve">n a los </w:t>
      </w:r>
      <w:r>
        <w:rPr>
          <w:rFonts w:ascii="Calibri" w:hAnsi="Calibri" w:cs="Arial"/>
          <w:bCs/>
          <w:sz w:val="22"/>
          <w:szCs w:val="22"/>
        </w:rPr>
        <w:t>cinco</w:t>
      </w:r>
      <w:r w:rsidRPr="002076A8">
        <w:rPr>
          <w:rFonts w:ascii="Calibri" w:hAnsi="Calibri" w:cs="Arial"/>
          <w:bCs/>
          <w:sz w:val="22"/>
          <w:szCs w:val="22"/>
        </w:rPr>
        <w:t xml:space="preserve"> ayuntamientos no consorciados, a los que igualmente se les presta el servicio de prevención, extinción de incendios y salvamento, </w:t>
      </w:r>
      <w:r>
        <w:rPr>
          <w:rFonts w:ascii="Calibri" w:hAnsi="Calibri" w:cs="Arial"/>
          <w:bCs/>
          <w:sz w:val="22"/>
          <w:szCs w:val="22"/>
        </w:rPr>
        <w:t xml:space="preserve">son abonadas por el Cabildo de Tenerife. Sin embargo, según los Estatutos de este Consorcio, estas cantidades </w:t>
      </w:r>
      <w:r w:rsidRPr="002076A8">
        <w:rPr>
          <w:rFonts w:ascii="Calibri" w:hAnsi="Calibri" w:cs="Arial"/>
          <w:bCs/>
          <w:sz w:val="22"/>
          <w:szCs w:val="22"/>
        </w:rPr>
        <w:t>serán detraídas de la participación de tales municipios en los Planes Insula</w:t>
      </w:r>
      <w:r>
        <w:rPr>
          <w:rFonts w:ascii="Calibri" w:hAnsi="Calibri" w:cs="Arial"/>
          <w:bCs/>
          <w:sz w:val="22"/>
          <w:szCs w:val="22"/>
        </w:rPr>
        <w:t>res de Cooperación Municipal. S</w:t>
      </w:r>
      <w:r w:rsidRPr="002076A8">
        <w:rPr>
          <w:rFonts w:ascii="Calibri" w:hAnsi="Calibri" w:cs="Arial"/>
          <w:bCs/>
          <w:sz w:val="22"/>
          <w:szCs w:val="22"/>
        </w:rPr>
        <w:t>u aportación en el total del Presupuesto para 20</w:t>
      </w:r>
      <w:r>
        <w:rPr>
          <w:rFonts w:ascii="Calibri" w:hAnsi="Calibri" w:cs="Arial"/>
          <w:bCs/>
          <w:sz w:val="22"/>
          <w:szCs w:val="22"/>
        </w:rPr>
        <w:t>20</w:t>
      </w:r>
      <w:r w:rsidRPr="002076A8">
        <w:rPr>
          <w:rFonts w:ascii="Calibri" w:hAnsi="Calibri" w:cs="Arial"/>
          <w:bCs/>
          <w:sz w:val="22"/>
          <w:szCs w:val="22"/>
        </w:rPr>
        <w:t xml:space="preserve"> es de</w:t>
      </w:r>
      <w:r>
        <w:rPr>
          <w:rFonts w:ascii="Calibri" w:hAnsi="Calibri" w:cs="Arial"/>
          <w:bCs/>
          <w:sz w:val="22"/>
          <w:szCs w:val="22"/>
        </w:rPr>
        <w:t>l1,15</w:t>
      </w:r>
      <w:r w:rsidRPr="002076A8">
        <w:rPr>
          <w:rFonts w:ascii="Calibri" w:hAnsi="Calibri" w:cs="Arial"/>
          <w:bCs/>
          <w:sz w:val="22"/>
          <w:szCs w:val="22"/>
        </w:rPr>
        <w:t>%.</w:t>
      </w:r>
    </w:p>
    <w:p w:rsidR="00AB338C" w:rsidRPr="001A71A8" w:rsidRDefault="00AB338C" w:rsidP="00AB338C">
      <w:pPr>
        <w:spacing w:after="120" w:line="300" w:lineRule="auto"/>
        <w:ind w:firstLine="709"/>
        <w:jc w:val="both"/>
        <w:rPr>
          <w:rFonts w:ascii="Calibri" w:hAnsi="Calibri" w:cs="Arial"/>
          <w:bCs/>
          <w:sz w:val="22"/>
          <w:szCs w:val="22"/>
        </w:rPr>
      </w:pPr>
      <w:r w:rsidRPr="001A71A8">
        <w:rPr>
          <w:rFonts w:ascii="Calibri" w:hAnsi="Calibri" w:cs="Arial"/>
          <w:bCs/>
          <w:sz w:val="22"/>
          <w:szCs w:val="22"/>
        </w:rPr>
        <w:t>En lo que se refiere a las entidades locales, la aportación principal es la del Excmo. Cabildo Insular de Tenerife con un 40% del total de aportaciones de las entidades locales de la Isla</w:t>
      </w:r>
      <w:r>
        <w:rPr>
          <w:rFonts w:ascii="Calibri" w:hAnsi="Calibri" w:cs="Arial"/>
          <w:bCs/>
          <w:sz w:val="22"/>
          <w:szCs w:val="22"/>
        </w:rPr>
        <w:t>. La aportación</w:t>
      </w:r>
      <w:r w:rsidRPr="001A71A8">
        <w:rPr>
          <w:rFonts w:ascii="Calibri" w:hAnsi="Calibri" w:cs="Arial"/>
          <w:bCs/>
          <w:sz w:val="22"/>
          <w:szCs w:val="22"/>
        </w:rPr>
        <w:t xml:space="preserve"> este año asciende a 5.</w:t>
      </w:r>
      <w:r>
        <w:rPr>
          <w:rFonts w:ascii="Calibri" w:hAnsi="Calibri" w:cs="Arial"/>
          <w:bCs/>
          <w:sz w:val="22"/>
          <w:szCs w:val="22"/>
        </w:rPr>
        <w:t>962.780,61</w:t>
      </w:r>
      <w:r w:rsidRPr="001A71A8">
        <w:rPr>
          <w:rFonts w:ascii="Calibri" w:hAnsi="Calibri" w:cs="Arial"/>
          <w:bCs/>
          <w:sz w:val="22"/>
          <w:szCs w:val="22"/>
        </w:rPr>
        <w:t xml:space="preserve"> euros</w:t>
      </w:r>
      <w:r>
        <w:rPr>
          <w:rFonts w:ascii="Calibri" w:hAnsi="Calibri" w:cs="Arial"/>
          <w:bCs/>
          <w:sz w:val="22"/>
          <w:szCs w:val="22"/>
        </w:rPr>
        <w:t>. A esta cantidad hay que sumarle 227.623,99 euros correspondientes a las aportaciones de los ayuntamientos no consorciados, y 100.000,00 euros de una Aportación específica de corriente para las Asociaciones de Bomberos Voluntarios, con lo que el importe total alcanza 6.290.404,60 euros.</w:t>
      </w:r>
    </w:p>
    <w:p w:rsidR="00AB338C" w:rsidRPr="001A71A8" w:rsidRDefault="00AB338C" w:rsidP="00AB338C">
      <w:pPr>
        <w:spacing w:line="300" w:lineRule="auto"/>
        <w:ind w:firstLine="709"/>
        <w:jc w:val="both"/>
        <w:rPr>
          <w:rFonts w:ascii="Calibri" w:hAnsi="Calibri" w:cs="Arial"/>
          <w:bCs/>
          <w:sz w:val="22"/>
          <w:szCs w:val="22"/>
        </w:rPr>
      </w:pPr>
    </w:p>
    <w:p w:rsidR="00AB338C" w:rsidRDefault="00AB338C" w:rsidP="00AB338C">
      <w:pPr>
        <w:spacing w:line="300" w:lineRule="auto"/>
        <w:ind w:firstLine="709"/>
        <w:jc w:val="both"/>
        <w:rPr>
          <w:rFonts w:ascii="Calibri" w:hAnsi="Calibri" w:cs="Arial"/>
          <w:bCs/>
          <w:sz w:val="22"/>
          <w:szCs w:val="22"/>
        </w:rPr>
      </w:pPr>
      <w:r w:rsidRPr="001A71A8">
        <w:rPr>
          <w:rFonts w:ascii="Calibri" w:hAnsi="Calibri" w:cs="Arial"/>
          <w:bCs/>
          <w:sz w:val="22"/>
          <w:szCs w:val="22"/>
        </w:rPr>
        <w:t>La aportación de los 31 ayuntamientos de la Isla de Tenerife asciende a 8.</w:t>
      </w:r>
      <w:r>
        <w:rPr>
          <w:rFonts w:ascii="Calibri" w:hAnsi="Calibri" w:cs="Arial"/>
          <w:bCs/>
          <w:sz w:val="22"/>
          <w:szCs w:val="22"/>
        </w:rPr>
        <w:t>716.546,92</w:t>
      </w:r>
      <w:r w:rsidRPr="001A71A8">
        <w:rPr>
          <w:rFonts w:ascii="Calibri" w:hAnsi="Calibri" w:cs="Arial"/>
          <w:bCs/>
          <w:sz w:val="22"/>
          <w:szCs w:val="22"/>
        </w:rPr>
        <w:t xml:space="preserve"> euros, distribuyéndose en tres bloques:</w:t>
      </w:r>
    </w:p>
    <w:p w:rsidR="00AB338C" w:rsidRPr="001A71A8" w:rsidRDefault="00AB338C" w:rsidP="00AB338C">
      <w:pPr>
        <w:spacing w:line="300" w:lineRule="auto"/>
        <w:ind w:firstLine="709"/>
        <w:jc w:val="both"/>
        <w:rPr>
          <w:rFonts w:ascii="Calibri" w:hAnsi="Calibri" w:cs="Arial"/>
          <w:bCs/>
          <w:sz w:val="22"/>
          <w:szCs w:val="22"/>
        </w:rPr>
      </w:pPr>
    </w:p>
    <w:p w:rsidR="00AB338C" w:rsidRPr="001A71A8" w:rsidRDefault="00AB338C" w:rsidP="00AB338C">
      <w:pPr>
        <w:pStyle w:val="Prrafodelista"/>
        <w:numPr>
          <w:ilvl w:val="0"/>
          <w:numId w:val="1"/>
        </w:numPr>
        <w:spacing w:line="300" w:lineRule="auto"/>
        <w:jc w:val="both"/>
        <w:rPr>
          <w:rFonts w:ascii="Calibri" w:hAnsi="Calibri" w:cs="Arial"/>
          <w:bCs/>
          <w:sz w:val="22"/>
          <w:szCs w:val="22"/>
        </w:rPr>
      </w:pPr>
      <w:r w:rsidRPr="00D454C2">
        <w:rPr>
          <w:rFonts w:ascii="Calibri" w:hAnsi="Calibri" w:cs="Arial"/>
          <w:bCs/>
          <w:sz w:val="22"/>
          <w:szCs w:val="22"/>
        </w:rPr>
        <w:t>Aportacion</w:t>
      </w:r>
      <w:r w:rsidRPr="001A71A8">
        <w:rPr>
          <w:rFonts w:ascii="Calibri" w:hAnsi="Calibri" w:cs="Arial"/>
          <w:bCs/>
          <w:sz w:val="22"/>
          <w:szCs w:val="22"/>
        </w:rPr>
        <w:t>es de Ayuntamientos de más de 50.000 habitantes (40%), con un total de 5.</w:t>
      </w:r>
      <w:r>
        <w:rPr>
          <w:rFonts w:ascii="Calibri" w:hAnsi="Calibri" w:cs="Arial"/>
          <w:bCs/>
          <w:sz w:val="22"/>
          <w:szCs w:val="22"/>
        </w:rPr>
        <w:t>962.780,61</w:t>
      </w:r>
      <w:r w:rsidRPr="001A71A8">
        <w:rPr>
          <w:rFonts w:ascii="Calibri" w:hAnsi="Calibri" w:cs="Arial"/>
          <w:bCs/>
          <w:sz w:val="22"/>
          <w:szCs w:val="22"/>
        </w:rPr>
        <w:t xml:space="preserve"> euros, entre los que se incluyen Ayuntamiento de Santa Cruz de Tenerife con un 19% </w:t>
      </w:r>
      <w:r>
        <w:rPr>
          <w:rFonts w:ascii="Calibri" w:hAnsi="Calibri" w:cs="Arial"/>
          <w:bCs/>
          <w:sz w:val="22"/>
          <w:szCs w:val="22"/>
        </w:rPr>
        <w:t xml:space="preserve">(2.832.320,79 </w:t>
      </w:r>
      <w:r w:rsidRPr="001A71A8">
        <w:rPr>
          <w:rFonts w:ascii="Calibri" w:hAnsi="Calibri" w:cs="Arial"/>
          <w:bCs/>
          <w:sz w:val="22"/>
          <w:szCs w:val="22"/>
        </w:rPr>
        <w:t>euros), el Ayuntamiento de San Cristóbal de La Laguna con un 14% (</w:t>
      </w:r>
      <w:r>
        <w:rPr>
          <w:rFonts w:ascii="Calibri" w:hAnsi="Calibri" w:cs="Arial"/>
          <w:bCs/>
          <w:sz w:val="22"/>
          <w:szCs w:val="22"/>
        </w:rPr>
        <w:t xml:space="preserve">2.086.973,21 </w:t>
      </w:r>
      <w:r w:rsidRPr="001A71A8">
        <w:rPr>
          <w:rFonts w:ascii="Calibri" w:hAnsi="Calibri" w:cs="Arial"/>
          <w:bCs/>
          <w:sz w:val="22"/>
          <w:szCs w:val="22"/>
        </w:rPr>
        <w:t>euros) y Ayuntamiento de Arona con una aportación del 7% (</w:t>
      </w:r>
      <w:r>
        <w:rPr>
          <w:rFonts w:ascii="Calibri" w:hAnsi="Calibri" w:cs="Arial"/>
          <w:bCs/>
          <w:sz w:val="22"/>
          <w:szCs w:val="22"/>
        </w:rPr>
        <w:t xml:space="preserve">1.043.486,61 </w:t>
      </w:r>
      <w:r w:rsidRPr="001A71A8">
        <w:rPr>
          <w:rFonts w:ascii="Calibri" w:hAnsi="Calibri" w:cs="Arial"/>
          <w:bCs/>
          <w:sz w:val="22"/>
          <w:szCs w:val="22"/>
        </w:rPr>
        <w:t>euros).</w:t>
      </w:r>
    </w:p>
    <w:p w:rsidR="00AB338C" w:rsidRPr="001A71A8" w:rsidRDefault="00AB338C" w:rsidP="00AB338C">
      <w:pPr>
        <w:pStyle w:val="Prrafodelista"/>
        <w:numPr>
          <w:ilvl w:val="0"/>
          <w:numId w:val="1"/>
        </w:numPr>
        <w:spacing w:line="300" w:lineRule="auto"/>
        <w:jc w:val="both"/>
        <w:rPr>
          <w:rFonts w:ascii="Calibri" w:hAnsi="Calibri" w:cs="Arial"/>
          <w:bCs/>
          <w:sz w:val="22"/>
          <w:szCs w:val="22"/>
        </w:rPr>
      </w:pPr>
      <w:r w:rsidRPr="001A71A8">
        <w:rPr>
          <w:rFonts w:ascii="Calibri" w:hAnsi="Calibri" w:cs="Arial"/>
          <w:bCs/>
          <w:sz w:val="22"/>
          <w:szCs w:val="22"/>
        </w:rPr>
        <w:t>Aportaciones de Ayuntamientos entre 20.001 y 50.000 habitantes, con un 14% del total</w:t>
      </w:r>
      <w:r>
        <w:rPr>
          <w:rFonts w:ascii="Calibri" w:hAnsi="Calibri" w:cs="Arial"/>
          <w:bCs/>
          <w:sz w:val="22"/>
          <w:szCs w:val="22"/>
        </w:rPr>
        <w:t>, que ascienden a 2.086.973,21</w:t>
      </w:r>
      <w:r w:rsidRPr="001A71A8">
        <w:rPr>
          <w:rFonts w:ascii="Calibri" w:hAnsi="Calibri" w:cs="Arial"/>
          <w:bCs/>
          <w:sz w:val="22"/>
          <w:szCs w:val="22"/>
        </w:rPr>
        <w:t xml:space="preserve"> euros).</w:t>
      </w:r>
    </w:p>
    <w:p w:rsidR="00AB338C" w:rsidRDefault="00AB338C" w:rsidP="00AB338C">
      <w:pPr>
        <w:pStyle w:val="Prrafodelista"/>
        <w:numPr>
          <w:ilvl w:val="0"/>
          <w:numId w:val="1"/>
        </w:numPr>
        <w:spacing w:line="300" w:lineRule="auto"/>
        <w:jc w:val="both"/>
        <w:rPr>
          <w:rFonts w:ascii="Calibri" w:hAnsi="Calibri" w:cs="Arial"/>
          <w:bCs/>
          <w:sz w:val="22"/>
          <w:szCs w:val="22"/>
        </w:rPr>
      </w:pPr>
      <w:r w:rsidRPr="001A71A8">
        <w:rPr>
          <w:rFonts w:ascii="Calibri" w:hAnsi="Calibri" w:cs="Arial"/>
          <w:bCs/>
          <w:sz w:val="22"/>
          <w:szCs w:val="22"/>
        </w:rPr>
        <w:t xml:space="preserve">Aportaciones de los Ayuntamientos de 20.000 habitantes o menos, que se cifran en </w:t>
      </w:r>
      <w:r>
        <w:rPr>
          <w:rFonts w:ascii="Calibri" w:hAnsi="Calibri" w:cs="Arial"/>
          <w:bCs/>
          <w:sz w:val="22"/>
          <w:szCs w:val="22"/>
        </w:rPr>
        <w:t xml:space="preserve">894.417,09 </w:t>
      </w:r>
      <w:r w:rsidRPr="001A71A8">
        <w:rPr>
          <w:rFonts w:ascii="Calibri" w:hAnsi="Calibri" w:cs="Arial"/>
          <w:bCs/>
          <w:sz w:val="22"/>
          <w:szCs w:val="22"/>
        </w:rPr>
        <w:t xml:space="preserve">euros. Dentro de este bloque están incluidos los </w:t>
      </w:r>
      <w:r>
        <w:rPr>
          <w:rFonts w:ascii="Calibri" w:hAnsi="Calibri" w:cs="Arial"/>
          <w:bCs/>
          <w:sz w:val="22"/>
          <w:szCs w:val="22"/>
        </w:rPr>
        <w:t>cinco</w:t>
      </w:r>
      <w:r w:rsidRPr="001A71A8">
        <w:rPr>
          <w:rFonts w:ascii="Calibri" w:hAnsi="Calibri" w:cs="Arial"/>
          <w:bCs/>
          <w:sz w:val="22"/>
          <w:szCs w:val="22"/>
        </w:rPr>
        <w:t xml:space="preserve"> ayuntamientos no consorciados de la Isla (Buenavista, La Matanza, La Victoria</w:t>
      </w:r>
      <w:r>
        <w:rPr>
          <w:rFonts w:ascii="Calibri" w:hAnsi="Calibri" w:cs="Arial"/>
          <w:bCs/>
          <w:sz w:val="22"/>
          <w:szCs w:val="22"/>
        </w:rPr>
        <w:t xml:space="preserve">, </w:t>
      </w:r>
      <w:r w:rsidRPr="001A71A8">
        <w:rPr>
          <w:rFonts w:ascii="Calibri" w:hAnsi="Calibri" w:cs="Arial"/>
          <w:bCs/>
          <w:sz w:val="22"/>
          <w:szCs w:val="22"/>
        </w:rPr>
        <w:t>El Tanque</w:t>
      </w:r>
      <w:r>
        <w:rPr>
          <w:rFonts w:ascii="Calibri" w:hAnsi="Calibri" w:cs="Arial"/>
          <w:bCs/>
          <w:sz w:val="22"/>
          <w:szCs w:val="22"/>
        </w:rPr>
        <w:t xml:space="preserve"> y Santiago del Teide</w:t>
      </w:r>
      <w:r w:rsidRPr="001A71A8">
        <w:rPr>
          <w:rFonts w:ascii="Calibri" w:hAnsi="Calibri" w:cs="Arial"/>
          <w:bCs/>
          <w:sz w:val="22"/>
          <w:szCs w:val="22"/>
        </w:rPr>
        <w:t xml:space="preserve">) que suman </w:t>
      </w:r>
      <w:r>
        <w:rPr>
          <w:rFonts w:ascii="Calibri" w:hAnsi="Calibri" w:cs="Arial"/>
          <w:bCs/>
          <w:sz w:val="22"/>
          <w:szCs w:val="22"/>
        </w:rPr>
        <w:t>227.623,99</w:t>
      </w:r>
      <w:r w:rsidRPr="001A71A8">
        <w:rPr>
          <w:rFonts w:ascii="Calibri" w:hAnsi="Calibri" w:cs="Arial"/>
          <w:bCs/>
          <w:sz w:val="22"/>
          <w:szCs w:val="22"/>
        </w:rPr>
        <w:t xml:space="preserve"> euros. </w:t>
      </w:r>
    </w:p>
    <w:p w:rsidR="00AB338C" w:rsidRDefault="00AB338C" w:rsidP="00AB338C">
      <w:pPr>
        <w:spacing w:line="300" w:lineRule="auto"/>
        <w:jc w:val="both"/>
        <w:rPr>
          <w:rFonts w:ascii="Calibri" w:hAnsi="Calibri" w:cs="Arial"/>
          <w:bCs/>
          <w:sz w:val="22"/>
          <w:szCs w:val="22"/>
        </w:rPr>
      </w:pPr>
    </w:p>
    <w:tbl>
      <w:tblPr>
        <w:tblW w:w="8505" w:type="dxa"/>
        <w:tblCellMar>
          <w:left w:w="70" w:type="dxa"/>
          <w:right w:w="70" w:type="dxa"/>
        </w:tblCellMar>
        <w:tblLook w:val="04A0"/>
      </w:tblPr>
      <w:tblGrid>
        <w:gridCol w:w="3402"/>
        <w:gridCol w:w="1313"/>
        <w:gridCol w:w="1381"/>
        <w:gridCol w:w="1275"/>
        <w:gridCol w:w="284"/>
        <w:gridCol w:w="850"/>
      </w:tblGrid>
      <w:tr w:rsidR="00AB338C" w:rsidRPr="00C46DD2" w:rsidTr="00AB338C">
        <w:trPr>
          <w:trHeight w:val="255"/>
        </w:trPr>
        <w:tc>
          <w:tcPr>
            <w:tcW w:w="3402" w:type="dxa"/>
            <w:tcBorders>
              <w:top w:val="nil"/>
              <w:left w:val="nil"/>
              <w:bottom w:val="nil"/>
              <w:right w:val="nil"/>
            </w:tcBorders>
            <w:shd w:val="clear" w:color="auto" w:fill="DBE5F1" w:themeFill="accent1" w:themeFillTint="33"/>
            <w:noWrap/>
            <w:vAlign w:val="bottom"/>
          </w:tcPr>
          <w:p w:rsidR="00AB338C" w:rsidRPr="00C46DD2" w:rsidRDefault="00AB338C" w:rsidP="00AB338C">
            <w:pPr>
              <w:autoSpaceDE/>
              <w:autoSpaceDN/>
              <w:rPr>
                <w:rFonts w:asciiTheme="minorHAnsi" w:hAnsiTheme="minorHAnsi"/>
                <w:b/>
                <w:bCs/>
                <w:color w:val="000000"/>
                <w:sz w:val="18"/>
                <w:szCs w:val="18"/>
              </w:rPr>
            </w:pPr>
          </w:p>
        </w:tc>
        <w:tc>
          <w:tcPr>
            <w:tcW w:w="1313" w:type="dxa"/>
            <w:tcBorders>
              <w:top w:val="nil"/>
              <w:left w:val="nil"/>
              <w:bottom w:val="nil"/>
              <w:right w:val="nil"/>
            </w:tcBorders>
            <w:shd w:val="clear" w:color="auto" w:fill="DBE5F1" w:themeFill="accent1" w:themeFillTint="33"/>
            <w:noWrap/>
            <w:vAlign w:val="bottom"/>
          </w:tcPr>
          <w:p w:rsidR="00AB338C" w:rsidRPr="00C46DD2" w:rsidRDefault="00AB338C" w:rsidP="00AB338C">
            <w:pPr>
              <w:autoSpaceDE/>
              <w:autoSpaceDN/>
              <w:jc w:val="right"/>
              <w:rPr>
                <w:rFonts w:asciiTheme="minorHAnsi" w:hAnsiTheme="minorHAnsi"/>
                <w:b/>
                <w:bCs/>
                <w:sz w:val="18"/>
                <w:szCs w:val="18"/>
              </w:rPr>
            </w:pPr>
            <w:r w:rsidRPr="00C46DD2">
              <w:rPr>
                <w:rFonts w:asciiTheme="minorHAnsi" w:hAnsiTheme="minorHAnsi"/>
                <w:b/>
                <w:bCs/>
                <w:sz w:val="18"/>
                <w:szCs w:val="18"/>
              </w:rPr>
              <w:t>2020</w:t>
            </w:r>
          </w:p>
        </w:tc>
        <w:tc>
          <w:tcPr>
            <w:tcW w:w="1381" w:type="dxa"/>
            <w:tcBorders>
              <w:top w:val="nil"/>
              <w:left w:val="nil"/>
              <w:bottom w:val="nil"/>
              <w:right w:val="nil"/>
            </w:tcBorders>
            <w:shd w:val="clear" w:color="auto" w:fill="DBE5F1" w:themeFill="accent1" w:themeFillTint="33"/>
            <w:noWrap/>
            <w:vAlign w:val="bottom"/>
          </w:tcPr>
          <w:p w:rsidR="00AB338C" w:rsidRPr="00C46DD2" w:rsidRDefault="00AB338C" w:rsidP="00AB338C">
            <w:pPr>
              <w:autoSpaceDE/>
              <w:autoSpaceDN/>
              <w:jc w:val="right"/>
              <w:rPr>
                <w:rFonts w:asciiTheme="minorHAnsi" w:hAnsiTheme="minorHAnsi"/>
                <w:b/>
                <w:bCs/>
                <w:sz w:val="18"/>
                <w:szCs w:val="18"/>
              </w:rPr>
            </w:pPr>
            <w:r w:rsidRPr="00C46DD2">
              <w:rPr>
                <w:rFonts w:asciiTheme="minorHAnsi" w:hAnsiTheme="minorHAnsi"/>
                <w:b/>
                <w:bCs/>
                <w:sz w:val="18"/>
                <w:szCs w:val="18"/>
              </w:rPr>
              <w:t>2019</w:t>
            </w:r>
          </w:p>
        </w:tc>
        <w:tc>
          <w:tcPr>
            <w:tcW w:w="1275" w:type="dxa"/>
            <w:tcBorders>
              <w:top w:val="nil"/>
              <w:left w:val="nil"/>
              <w:bottom w:val="nil"/>
              <w:right w:val="nil"/>
            </w:tcBorders>
            <w:shd w:val="clear" w:color="auto" w:fill="DBE5F1" w:themeFill="accent1" w:themeFillTint="33"/>
            <w:noWrap/>
            <w:vAlign w:val="bottom"/>
          </w:tcPr>
          <w:p w:rsidR="00AB338C" w:rsidRPr="00C46DD2" w:rsidRDefault="00AB338C" w:rsidP="00AB338C">
            <w:pPr>
              <w:autoSpaceDE/>
              <w:autoSpaceDN/>
              <w:jc w:val="center"/>
              <w:rPr>
                <w:rFonts w:asciiTheme="minorHAnsi" w:hAnsiTheme="minorHAnsi"/>
                <w:b/>
                <w:bCs/>
                <w:color w:val="000000"/>
                <w:sz w:val="18"/>
                <w:szCs w:val="18"/>
              </w:rPr>
            </w:pPr>
            <w:r w:rsidRPr="00C46DD2">
              <w:rPr>
                <w:rFonts w:asciiTheme="minorHAnsi" w:hAnsiTheme="minorHAnsi"/>
                <w:b/>
                <w:bCs/>
                <w:color w:val="000000"/>
                <w:sz w:val="18"/>
                <w:szCs w:val="18"/>
              </w:rPr>
              <w:t>% 2020-2019</w:t>
            </w:r>
          </w:p>
        </w:tc>
        <w:tc>
          <w:tcPr>
            <w:tcW w:w="284" w:type="dxa"/>
            <w:tcBorders>
              <w:top w:val="nil"/>
              <w:left w:val="nil"/>
              <w:bottom w:val="nil"/>
              <w:right w:val="nil"/>
            </w:tcBorders>
            <w:shd w:val="clear" w:color="auto" w:fill="DBE5F1" w:themeFill="accent1" w:themeFillTint="33"/>
            <w:noWrap/>
            <w:vAlign w:val="bottom"/>
          </w:tcPr>
          <w:p w:rsidR="00AB338C" w:rsidRPr="00C46DD2" w:rsidRDefault="00AB338C" w:rsidP="00AB338C">
            <w:pPr>
              <w:autoSpaceDE/>
              <w:autoSpaceDN/>
              <w:jc w:val="center"/>
              <w:rPr>
                <w:rFonts w:asciiTheme="minorHAnsi" w:hAnsiTheme="minorHAnsi"/>
                <w:b/>
                <w:bCs/>
                <w:color w:val="000000"/>
                <w:sz w:val="18"/>
                <w:szCs w:val="18"/>
              </w:rPr>
            </w:pPr>
          </w:p>
        </w:tc>
        <w:tc>
          <w:tcPr>
            <w:tcW w:w="850" w:type="dxa"/>
            <w:tcBorders>
              <w:top w:val="nil"/>
              <w:left w:val="nil"/>
              <w:bottom w:val="nil"/>
              <w:right w:val="nil"/>
            </w:tcBorders>
            <w:shd w:val="clear" w:color="auto" w:fill="DBE5F1" w:themeFill="accent1" w:themeFillTint="33"/>
            <w:noWrap/>
            <w:vAlign w:val="bottom"/>
          </w:tcPr>
          <w:p w:rsidR="00AB338C" w:rsidRPr="00C46DD2" w:rsidRDefault="00AB338C" w:rsidP="00AB338C">
            <w:pPr>
              <w:autoSpaceDE/>
              <w:autoSpaceDN/>
              <w:rPr>
                <w:rFonts w:asciiTheme="minorHAnsi" w:hAnsiTheme="minorHAnsi"/>
                <w:b/>
                <w:bCs/>
                <w:sz w:val="18"/>
                <w:szCs w:val="18"/>
              </w:rPr>
            </w:pPr>
            <w:r w:rsidRPr="00C46DD2">
              <w:rPr>
                <w:rFonts w:asciiTheme="minorHAnsi" w:hAnsiTheme="minorHAnsi"/>
                <w:b/>
                <w:bCs/>
                <w:sz w:val="18"/>
                <w:szCs w:val="18"/>
              </w:rPr>
              <w:t>% TOTAL</w:t>
            </w:r>
          </w:p>
        </w:tc>
      </w:tr>
      <w:tr w:rsidR="00AB338C" w:rsidRPr="00C46DD2" w:rsidTr="00AB338C">
        <w:trPr>
          <w:trHeight w:val="255"/>
        </w:trPr>
        <w:tc>
          <w:tcPr>
            <w:tcW w:w="3402" w:type="dxa"/>
            <w:tcBorders>
              <w:top w:val="nil"/>
              <w:left w:val="nil"/>
              <w:bottom w:val="nil"/>
              <w:right w:val="nil"/>
            </w:tcBorders>
            <w:shd w:val="clear" w:color="auto" w:fill="DBE5F1" w:themeFill="accent1" w:themeFillTint="33"/>
            <w:noWrap/>
            <w:vAlign w:val="bottom"/>
            <w:hideMark/>
          </w:tcPr>
          <w:p w:rsidR="00AB338C" w:rsidRPr="00257E4A" w:rsidRDefault="00AB338C" w:rsidP="00AB338C">
            <w:pPr>
              <w:autoSpaceDE/>
              <w:autoSpaceDN/>
              <w:rPr>
                <w:rFonts w:asciiTheme="minorHAnsi" w:hAnsiTheme="minorHAnsi"/>
                <w:b/>
                <w:bCs/>
                <w:color w:val="000000"/>
                <w:sz w:val="18"/>
                <w:szCs w:val="18"/>
              </w:rPr>
            </w:pPr>
            <w:r w:rsidRPr="00257E4A">
              <w:rPr>
                <w:rFonts w:asciiTheme="minorHAnsi" w:hAnsiTheme="minorHAnsi"/>
                <w:b/>
                <w:bCs/>
                <w:color w:val="000000"/>
                <w:sz w:val="18"/>
                <w:szCs w:val="18"/>
              </w:rPr>
              <w:t>Total a aportar AAPP Locales</w:t>
            </w:r>
          </w:p>
        </w:tc>
        <w:tc>
          <w:tcPr>
            <w:tcW w:w="1313" w:type="dxa"/>
            <w:tcBorders>
              <w:top w:val="nil"/>
              <w:left w:val="nil"/>
              <w:bottom w:val="nil"/>
              <w:right w:val="nil"/>
            </w:tcBorders>
            <w:shd w:val="clear" w:color="auto" w:fill="DBE5F1" w:themeFill="accent1" w:themeFillTint="33"/>
            <w:noWrap/>
            <w:vAlign w:val="bottom"/>
            <w:hideMark/>
          </w:tcPr>
          <w:p w:rsidR="00AB338C" w:rsidRPr="00257E4A" w:rsidRDefault="00AB338C" w:rsidP="00AB338C">
            <w:pPr>
              <w:autoSpaceDE/>
              <w:autoSpaceDN/>
              <w:jc w:val="right"/>
              <w:rPr>
                <w:rFonts w:asciiTheme="minorHAnsi" w:hAnsiTheme="minorHAnsi"/>
                <w:b/>
                <w:bCs/>
                <w:sz w:val="18"/>
                <w:szCs w:val="18"/>
              </w:rPr>
            </w:pPr>
            <w:r w:rsidRPr="00257E4A">
              <w:rPr>
                <w:rFonts w:asciiTheme="minorHAnsi" w:hAnsiTheme="minorHAnsi"/>
                <w:b/>
                <w:bCs/>
                <w:sz w:val="18"/>
                <w:szCs w:val="18"/>
              </w:rPr>
              <w:t>14.906.951,52</w:t>
            </w:r>
          </w:p>
        </w:tc>
        <w:tc>
          <w:tcPr>
            <w:tcW w:w="1381" w:type="dxa"/>
            <w:tcBorders>
              <w:top w:val="nil"/>
              <w:left w:val="nil"/>
              <w:bottom w:val="nil"/>
              <w:right w:val="nil"/>
            </w:tcBorders>
            <w:shd w:val="clear" w:color="auto" w:fill="DBE5F1" w:themeFill="accent1" w:themeFillTint="33"/>
            <w:noWrap/>
            <w:vAlign w:val="bottom"/>
            <w:hideMark/>
          </w:tcPr>
          <w:p w:rsidR="00AB338C" w:rsidRPr="00257E4A" w:rsidRDefault="00AB338C" w:rsidP="00AB338C">
            <w:pPr>
              <w:autoSpaceDE/>
              <w:autoSpaceDN/>
              <w:jc w:val="right"/>
              <w:rPr>
                <w:rFonts w:asciiTheme="minorHAnsi" w:hAnsiTheme="minorHAnsi"/>
                <w:b/>
                <w:bCs/>
                <w:sz w:val="18"/>
                <w:szCs w:val="18"/>
              </w:rPr>
            </w:pPr>
            <w:r w:rsidRPr="00257E4A">
              <w:rPr>
                <w:rFonts w:asciiTheme="minorHAnsi" w:hAnsiTheme="minorHAnsi"/>
                <w:b/>
                <w:bCs/>
                <w:sz w:val="18"/>
                <w:szCs w:val="18"/>
              </w:rPr>
              <w:t>14.573.515,95</w:t>
            </w:r>
          </w:p>
        </w:tc>
        <w:tc>
          <w:tcPr>
            <w:tcW w:w="1275" w:type="dxa"/>
            <w:tcBorders>
              <w:top w:val="nil"/>
              <w:left w:val="nil"/>
              <w:bottom w:val="nil"/>
              <w:right w:val="nil"/>
            </w:tcBorders>
            <w:shd w:val="clear" w:color="auto" w:fill="DBE5F1" w:themeFill="accent1" w:themeFillTint="33"/>
            <w:noWrap/>
            <w:vAlign w:val="bottom"/>
            <w:hideMark/>
          </w:tcPr>
          <w:p w:rsidR="00AB338C" w:rsidRPr="00257E4A" w:rsidRDefault="00AB338C" w:rsidP="00AB338C">
            <w:pPr>
              <w:autoSpaceDE/>
              <w:autoSpaceDN/>
              <w:jc w:val="right"/>
              <w:rPr>
                <w:rFonts w:asciiTheme="minorHAnsi" w:hAnsiTheme="minorHAnsi"/>
                <w:b/>
                <w:bCs/>
                <w:color w:val="000000"/>
                <w:sz w:val="18"/>
                <w:szCs w:val="18"/>
              </w:rPr>
            </w:pPr>
            <w:r w:rsidRPr="00257E4A">
              <w:rPr>
                <w:rFonts w:asciiTheme="minorHAnsi" w:hAnsiTheme="minorHAnsi"/>
                <w:b/>
                <w:bCs/>
                <w:color w:val="000000"/>
                <w:sz w:val="18"/>
                <w:szCs w:val="18"/>
              </w:rPr>
              <w:t>2,29%</w:t>
            </w:r>
          </w:p>
        </w:tc>
        <w:tc>
          <w:tcPr>
            <w:tcW w:w="284" w:type="dxa"/>
            <w:tcBorders>
              <w:top w:val="nil"/>
              <w:left w:val="nil"/>
              <w:bottom w:val="nil"/>
              <w:right w:val="nil"/>
            </w:tcBorders>
            <w:shd w:val="clear" w:color="auto" w:fill="DBE5F1" w:themeFill="accent1" w:themeFillTint="33"/>
            <w:noWrap/>
            <w:vAlign w:val="bottom"/>
            <w:hideMark/>
          </w:tcPr>
          <w:p w:rsidR="00AB338C" w:rsidRPr="00257E4A" w:rsidRDefault="00AB338C" w:rsidP="00AB338C">
            <w:pPr>
              <w:autoSpaceDE/>
              <w:autoSpaceDN/>
              <w:jc w:val="right"/>
              <w:rPr>
                <w:rFonts w:asciiTheme="minorHAnsi" w:hAnsiTheme="minorHAnsi"/>
                <w:b/>
                <w:bCs/>
                <w:color w:val="000000"/>
                <w:sz w:val="18"/>
                <w:szCs w:val="18"/>
              </w:rPr>
            </w:pPr>
          </w:p>
        </w:tc>
        <w:tc>
          <w:tcPr>
            <w:tcW w:w="850" w:type="dxa"/>
            <w:tcBorders>
              <w:top w:val="nil"/>
              <w:left w:val="nil"/>
              <w:bottom w:val="nil"/>
              <w:right w:val="nil"/>
            </w:tcBorders>
            <w:shd w:val="clear" w:color="auto" w:fill="DBE5F1" w:themeFill="accent1" w:themeFillTint="33"/>
            <w:noWrap/>
            <w:vAlign w:val="bottom"/>
            <w:hideMark/>
          </w:tcPr>
          <w:p w:rsidR="00AB338C" w:rsidRPr="00257E4A" w:rsidRDefault="00AB338C" w:rsidP="00AB338C">
            <w:pPr>
              <w:autoSpaceDE/>
              <w:autoSpaceDN/>
              <w:jc w:val="right"/>
              <w:rPr>
                <w:rFonts w:asciiTheme="minorHAnsi" w:hAnsiTheme="minorHAnsi"/>
                <w:b/>
                <w:bCs/>
                <w:color w:val="000000"/>
                <w:sz w:val="18"/>
                <w:szCs w:val="18"/>
              </w:rPr>
            </w:pPr>
            <w:r w:rsidRPr="00257E4A">
              <w:rPr>
                <w:rFonts w:asciiTheme="minorHAnsi" w:hAnsiTheme="minorHAnsi"/>
                <w:b/>
                <w:bCs/>
                <w:color w:val="000000"/>
                <w:sz w:val="18"/>
                <w:szCs w:val="18"/>
              </w:rPr>
              <w:t>75,</w:t>
            </w:r>
            <w:r>
              <w:rPr>
                <w:rFonts w:asciiTheme="minorHAnsi" w:hAnsiTheme="minorHAnsi"/>
                <w:b/>
                <w:bCs/>
                <w:color w:val="000000"/>
                <w:sz w:val="18"/>
                <w:szCs w:val="18"/>
              </w:rPr>
              <w:t>18</w:t>
            </w:r>
            <w:r w:rsidRPr="00257E4A">
              <w:rPr>
                <w:rFonts w:asciiTheme="minorHAnsi" w:hAnsiTheme="minorHAnsi"/>
                <w:b/>
                <w:bCs/>
                <w:color w:val="000000"/>
                <w:sz w:val="18"/>
                <w:szCs w:val="18"/>
              </w:rPr>
              <w:t>%</w:t>
            </w:r>
          </w:p>
        </w:tc>
      </w:tr>
      <w:tr w:rsidR="00AB338C" w:rsidRPr="00C46DD2" w:rsidTr="00AB338C">
        <w:trPr>
          <w:trHeight w:val="255"/>
        </w:trPr>
        <w:tc>
          <w:tcPr>
            <w:tcW w:w="3402" w:type="dxa"/>
            <w:tcBorders>
              <w:top w:val="nil"/>
              <w:left w:val="nil"/>
              <w:bottom w:val="nil"/>
              <w:right w:val="nil"/>
            </w:tcBorders>
            <w:shd w:val="clear" w:color="auto" w:fill="auto"/>
            <w:noWrap/>
            <w:vAlign w:val="bottom"/>
            <w:hideMark/>
          </w:tcPr>
          <w:p w:rsidR="00AB338C" w:rsidRPr="00257E4A" w:rsidRDefault="00AB338C" w:rsidP="00AB338C">
            <w:pPr>
              <w:autoSpaceDE/>
              <w:autoSpaceDN/>
              <w:rPr>
                <w:rFonts w:asciiTheme="minorHAnsi" w:hAnsiTheme="minorHAnsi"/>
                <w:color w:val="000000"/>
                <w:sz w:val="18"/>
                <w:szCs w:val="18"/>
              </w:rPr>
            </w:pPr>
            <w:r w:rsidRPr="00257E4A">
              <w:rPr>
                <w:rFonts w:asciiTheme="minorHAnsi" w:hAnsiTheme="minorHAnsi"/>
                <w:color w:val="000000"/>
                <w:sz w:val="18"/>
                <w:szCs w:val="18"/>
              </w:rPr>
              <w:t>Cabildo (40%)</w:t>
            </w:r>
          </w:p>
        </w:tc>
        <w:tc>
          <w:tcPr>
            <w:tcW w:w="1313"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5.962.780,61</w:t>
            </w:r>
          </w:p>
        </w:tc>
        <w:tc>
          <w:tcPr>
            <w:tcW w:w="1381"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5.829.406,38</w:t>
            </w:r>
          </w:p>
        </w:tc>
        <w:tc>
          <w:tcPr>
            <w:tcW w:w="1275" w:type="dxa"/>
            <w:tcBorders>
              <w:top w:val="nil"/>
              <w:left w:val="nil"/>
              <w:bottom w:val="nil"/>
              <w:right w:val="nil"/>
            </w:tcBorders>
            <w:shd w:val="clear" w:color="auto" w:fill="auto"/>
            <w:noWrap/>
            <w:vAlign w:val="bottom"/>
          </w:tcPr>
          <w:p w:rsidR="00AB338C" w:rsidRPr="00C46DD2" w:rsidRDefault="00AB338C" w:rsidP="00AB338C">
            <w:pPr>
              <w:autoSpaceDE/>
              <w:autoSpaceDN/>
              <w:jc w:val="right"/>
              <w:rPr>
                <w:rFonts w:ascii="Calibri" w:hAnsi="Calibri"/>
                <w:color w:val="000000"/>
                <w:sz w:val="16"/>
                <w:szCs w:val="16"/>
              </w:rPr>
            </w:pPr>
            <w:r w:rsidRPr="00C46DD2">
              <w:rPr>
                <w:rFonts w:ascii="Calibri" w:hAnsi="Calibri"/>
                <w:color w:val="000000"/>
                <w:sz w:val="16"/>
                <w:szCs w:val="16"/>
              </w:rPr>
              <w:t>2,29%</w:t>
            </w:r>
          </w:p>
        </w:tc>
        <w:tc>
          <w:tcPr>
            <w:tcW w:w="284"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p>
        </w:tc>
        <w:tc>
          <w:tcPr>
            <w:tcW w:w="850"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30,</w:t>
            </w:r>
            <w:r>
              <w:rPr>
                <w:rFonts w:asciiTheme="minorHAnsi" w:hAnsiTheme="minorHAnsi"/>
                <w:color w:val="000000"/>
                <w:sz w:val="18"/>
                <w:szCs w:val="18"/>
              </w:rPr>
              <w:t>07</w:t>
            </w:r>
            <w:r w:rsidRPr="00257E4A">
              <w:rPr>
                <w:rFonts w:asciiTheme="minorHAnsi" w:hAnsiTheme="minorHAnsi"/>
                <w:color w:val="000000"/>
                <w:sz w:val="18"/>
                <w:szCs w:val="18"/>
              </w:rPr>
              <w:t>%</w:t>
            </w:r>
          </w:p>
        </w:tc>
      </w:tr>
      <w:tr w:rsidR="00AB338C" w:rsidRPr="00C46DD2" w:rsidTr="00AB338C">
        <w:trPr>
          <w:trHeight w:val="255"/>
        </w:trPr>
        <w:tc>
          <w:tcPr>
            <w:tcW w:w="3402" w:type="dxa"/>
            <w:tcBorders>
              <w:top w:val="nil"/>
              <w:left w:val="nil"/>
              <w:bottom w:val="nil"/>
              <w:right w:val="nil"/>
            </w:tcBorders>
            <w:shd w:val="clear" w:color="auto" w:fill="auto"/>
            <w:noWrap/>
            <w:vAlign w:val="bottom"/>
            <w:hideMark/>
          </w:tcPr>
          <w:p w:rsidR="00AB338C" w:rsidRPr="00257E4A" w:rsidRDefault="00AB338C" w:rsidP="00AB338C">
            <w:pPr>
              <w:autoSpaceDE/>
              <w:autoSpaceDN/>
              <w:rPr>
                <w:rFonts w:asciiTheme="minorHAnsi" w:hAnsiTheme="minorHAnsi"/>
                <w:color w:val="000000"/>
                <w:sz w:val="18"/>
                <w:szCs w:val="18"/>
              </w:rPr>
            </w:pPr>
            <w:r w:rsidRPr="00257E4A">
              <w:rPr>
                <w:rFonts w:asciiTheme="minorHAnsi" w:hAnsiTheme="minorHAnsi"/>
                <w:color w:val="000000"/>
                <w:sz w:val="18"/>
                <w:szCs w:val="18"/>
              </w:rPr>
              <w:t>Ayuntamiento S</w:t>
            </w:r>
            <w:r w:rsidRPr="00C46DD2">
              <w:rPr>
                <w:rFonts w:asciiTheme="minorHAnsi" w:hAnsiTheme="minorHAnsi"/>
                <w:color w:val="000000"/>
                <w:sz w:val="18"/>
                <w:szCs w:val="18"/>
              </w:rPr>
              <w:t>an</w:t>
            </w:r>
            <w:r w:rsidRPr="00257E4A">
              <w:rPr>
                <w:rFonts w:asciiTheme="minorHAnsi" w:hAnsiTheme="minorHAnsi"/>
                <w:color w:val="000000"/>
                <w:sz w:val="18"/>
                <w:szCs w:val="18"/>
              </w:rPr>
              <w:t>ta Cruz(19%)</w:t>
            </w:r>
          </w:p>
        </w:tc>
        <w:tc>
          <w:tcPr>
            <w:tcW w:w="1313"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2.832.320,79</w:t>
            </w:r>
          </w:p>
        </w:tc>
        <w:tc>
          <w:tcPr>
            <w:tcW w:w="1381"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2.768.968,03</w:t>
            </w:r>
          </w:p>
        </w:tc>
        <w:tc>
          <w:tcPr>
            <w:tcW w:w="1275" w:type="dxa"/>
            <w:tcBorders>
              <w:top w:val="nil"/>
              <w:left w:val="nil"/>
              <w:bottom w:val="nil"/>
              <w:right w:val="nil"/>
            </w:tcBorders>
            <w:shd w:val="clear" w:color="auto" w:fill="auto"/>
            <w:noWrap/>
            <w:vAlign w:val="bottom"/>
          </w:tcPr>
          <w:p w:rsidR="00AB338C" w:rsidRPr="00C46DD2" w:rsidRDefault="00AB338C" w:rsidP="00AB338C">
            <w:pPr>
              <w:jc w:val="right"/>
              <w:rPr>
                <w:rFonts w:ascii="Calibri" w:hAnsi="Calibri"/>
                <w:color w:val="000000"/>
                <w:sz w:val="16"/>
                <w:szCs w:val="16"/>
              </w:rPr>
            </w:pPr>
            <w:r w:rsidRPr="00C46DD2">
              <w:rPr>
                <w:rFonts w:ascii="Calibri" w:hAnsi="Calibri"/>
                <w:color w:val="000000"/>
                <w:sz w:val="16"/>
                <w:szCs w:val="16"/>
              </w:rPr>
              <w:t>2,29%</w:t>
            </w:r>
          </w:p>
        </w:tc>
        <w:tc>
          <w:tcPr>
            <w:tcW w:w="284"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p>
        </w:tc>
        <w:tc>
          <w:tcPr>
            <w:tcW w:w="850"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14,</w:t>
            </w:r>
            <w:r>
              <w:rPr>
                <w:rFonts w:asciiTheme="minorHAnsi" w:hAnsiTheme="minorHAnsi"/>
                <w:color w:val="000000"/>
                <w:sz w:val="18"/>
                <w:szCs w:val="18"/>
              </w:rPr>
              <w:t>28</w:t>
            </w:r>
            <w:r w:rsidRPr="00257E4A">
              <w:rPr>
                <w:rFonts w:asciiTheme="minorHAnsi" w:hAnsiTheme="minorHAnsi"/>
                <w:color w:val="000000"/>
                <w:sz w:val="18"/>
                <w:szCs w:val="18"/>
              </w:rPr>
              <w:t>%</w:t>
            </w:r>
          </w:p>
        </w:tc>
      </w:tr>
      <w:tr w:rsidR="00AB338C" w:rsidRPr="00C46DD2" w:rsidTr="00AB338C">
        <w:trPr>
          <w:trHeight w:val="255"/>
        </w:trPr>
        <w:tc>
          <w:tcPr>
            <w:tcW w:w="3402" w:type="dxa"/>
            <w:tcBorders>
              <w:top w:val="nil"/>
              <w:left w:val="nil"/>
              <w:bottom w:val="nil"/>
              <w:right w:val="nil"/>
            </w:tcBorders>
            <w:shd w:val="clear" w:color="auto" w:fill="auto"/>
            <w:noWrap/>
            <w:vAlign w:val="bottom"/>
            <w:hideMark/>
          </w:tcPr>
          <w:p w:rsidR="00AB338C" w:rsidRPr="00257E4A" w:rsidRDefault="00AB338C" w:rsidP="00AB338C">
            <w:pPr>
              <w:autoSpaceDE/>
              <w:autoSpaceDN/>
              <w:rPr>
                <w:rFonts w:asciiTheme="minorHAnsi" w:hAnsiTheme="minorHAnsi"/>
                <w:color w:val="000000"/>
                <w:sz w:val="18"/>
                <w:szCs w:val="18"/>
              </w:rPr>
            </w:pPr>
            <w:r w:rsidRPr="00257E4A">
              <w:rPr>
                <w:rFonts w:asciiTheme="minorHAnsi" w:hAnsiTheme="minorHAnsi"/>
                <w:color w:val="000000"/>
                <w:sz w:val="18"/>
                <w:szCs w:val="18"/>
              </w:rPr>
              <w:t>Ayuntamiento La Laguna(14%)</w:t>
            </w:r>
          </w:p>
        </w:tc>
        <w:tc>
          <w:tcPr>
            <w:tcW w:w="1313"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2.086.973,21</w:t>
            </w:r>
          </w:p>
        </w:tc>
        <w:tc>
          <w:tcPr>
            <w:tcW w:w="1381"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2.040.292,23</w:t>
            </w:r>
          </w:p>
        </w:tc>
        <w:tc>
          <w:tcPr>
            <w:tcW w:w="1275" w:type="dxa"/>
            <w:tcBorders>
              <w:top w:val="nil"/>
              <w:left w:val="nil"/>
              <w:bottom w:val="nil"/>
              <w:right w:val="nil"/>
            </w:tcBorders>
            <w:shd w:val="clear" w:color="auto" w:fill="auto"/>
            <w:noWrap/>
            <w:vAlign w:val="bottom"/>
          </w:tcPr>
          <w:p w:rsidR="00AB338C" w:rsidRPr="00C46DD2" w:rsidRDefault="00AB338C" w:rsidP="00AB338C">
            <w:pPr>
              <w:jc w:val="right"/>
              <w:rPr>
                <w:rFonts w:ascii="Calibri" w:hAnsi="Calibri"/>
                <w:color w:val="000000"/>
                <w:sz w:val="16"/>
                <w:szCs w:val="16"/>
              </w:rPr>
            </w:pPr>
            <w:r w:rsidRPr="00C46DD2">
              <w:rPr>
                <w:rFonts w:ascii="Calibri" w:hAnsi="Calibri"/>
                <w:color w:val="000000"/>
                <w:sz w:val="16"/>
                <w:szCs w:val="16"/>
              </w:rPr>
              <w:t>2,29%</w:t>
            </w:r>
          </w:p>
        </w:tc>
        <w:tc>
          <w:tcPr>
            <w:tcW w:w="284"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p>
        </w:tc>
        <w:tc>
          <w:tcPr>
            <w:tcW w:w="850"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10,</w:t>
            </w:r>
            <w:r>
              <w:rPr>
                <w:rFonts w:asciiTheme="minorHAnsi" w:hAnsiTheme="minorHAnsi"/>
                <w:color w:val="000000"/>
                <w:sz w:val="18"/>
                <w:szCs w:val="18"/>
              </w:rPr>
              <w:t>53</w:t>
            </w:r>
            <w:r w:rsidRPr="00257E4A">
              <w:rPr>
                <w:rFonts w:asciiTheme="minorHAnsi" w:hAnsiTheme="minorHAnsi"/>
                <w:color w:val="000000"/>
                <w:sz w:val="18"/>
                <w:szCs w:val="18"/>
              </w:rPr>
              <w:t>%</w:t>
            </w:r>
          </w:p>
        </w:tc>
      </w:tr>
      <w:tr w:rsidR="00AB338C" w:rsidRPr="00C46DD2" w:rsidTr="00AB338C">
        <w:trPr>
          <w:trHeight w:val="255"/>
        </w:trPr>
        <w:tc>
          <w:tcPr>
            <w:tcW w:w="3402" w:type="dxa"/>
            <w:tcBorders>
              <w:top w:val="nil"/>
              <w:left w:val="nil"/>
              <w:bottom w:val="nil"/>
              <w:right w:val="nil"/>
            </w:tcBorders>
            <w:shd w:val="clear" w:color="auto" w:fill="auto"/>
            <w:noWrap/>
            <w:vAlign w:val="bottom"/>
            <w:hideMark/>
          </w:tcPr>
          <w:p w:rsidR="00AB338C" w:rsidRPr="00257E4A" w:rsidRDefault="00AB338C" w:rsidP="00AB338C">
            <w:pPr>
              <w:autoSpaceDE/>
              <w:autoSpaceDN/>
              <w:rPr>
                <w:rFonts w:asciiTheme="minorHAnsi" w:hAnsiTheme="minorHAnsi"/>
                <w:color w:val="000000"/>
                <w:sz w:val="18"/>
                <w:szCs w:val="18"/>
              </w:rPr>
            </w:pPr>
            <w:r w:rsidRPr="00257E4A">
              <w:rPr>
                <w:rFonts w:asciiTheme="minorHAnsi" w:hAnsiTheme="minorHAnsi"/>
                <w:color w:val="000000"/>
                <w:sz w:val="18"/>
                <w:szCs w:val="18"/>
              </w:rPr>
              <w:lastRenderedPageBreak/>
              <w:t>Ayuntamiento Arona (7,00%)</w:t>
            </w:r>
          </w:p>
        </w:tc>
        <w:tc>
          <w:tcPr>
            <w:tcW w:w="1313"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1.043.486,61</w:t>
            </w:r>
          </w:p>
        </w:tc>
        <w:tc>
          <w:tcPr>
            <w:tcW w:w="1381"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1.020.146,12</w:t>
            </w:r>
          </w:p>
        </w:tc>
        <w:tc>
          <w:tcPr>
            <w:tcW w:w="1275" w:type="dxa"/>
            <w:tcBorders>
              <w:top w:val="nil"/>
              <w:left w:val="nil"/>
              <w:bottom w:val="nil"/>
              <w:right w:val="nil"/>
            </w:tcBorders>
            <w:shd w:val="clear" w:color="auto" w:fill="auto"/>
            <w:noWrap/>
            <w:vAlign w:val="bottom"/>
          </w:tcPr>
          <w:p w:rsidR="00AB338C" w:rsidRPr="00C46DD2" w:rsidRDefault="00AB338C" w:rsidP="00AB338C">
            <w:pPr>
              <w:jc w:val="right"/>
              <w:rPr>
                <w:rFonts w:ascii="Calibri" w:hAnsi="Calibri"/>
                <w:color w:val="000000"/>
                <w:sz w:val="16"/>
                <w:szCs w:val="16"/>
              </w:rPr>
            </w:pPr>
            <w:r w:rsidRPr="00C46DD2">
              <w:rPr>
                <w:rFonts w:ascii="Calibri" w:hAnsi="Calibri"/>
                <w:color w:val="000000"/>
                <w:sz w:val="16"/>
                <w:szCs w:val="16"/>
              </w:rPr>
              <w:t>2,29%</w:t>
            </w:r>
          </w:p>
        </w:tc>
        <w:tc>
          <w:tcPr>
            <w:tcW w:w="284"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p>
        </w:tc>
        <w:tc>
          <w:tcPr>
            <w:tcW w:w="850"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5,</w:t>
            </w:r>
            <w:r>
              <w:rPr>
                <w:rFonts w:asciiTheme="minorHAnsi" w:hAnsiTheme="minorHAnsi"/>
                <w:color w:val="000000"/>
                <w:sz w:val="18"/>
                <w:szCs w:val="18"/>
              </w:rPr>
              <w:t>29</w:t>
            </w:r>
            <w:r w:rsidRPr="00257E4A">
              <w:rPr>
                <w:rFonts w:asciiTheme="minorHAnsi" w:hAnsiTheme="minorHAnsi"/>
                <w:color w:val="000000"/>
                <w:sz w:val="18"/>
                <w:szCs w:val="18"/>
              </w:rPr>
              <w:t>%</w:t>
            </w:r>
          </w:p>
        </w:tc>
      </w:tr>
      <w:tr w:rsidR="00AB338C" w:rsidRPr="00C46DD2" w:rsidTr="00AB338C">
        <w:trPr>
          <w:trHeight w:val="255"/>
        </w:trPr>
        <w:tc>
          <w:tcPr>
            <w:tcW w:w="3402" w:type="dxa"/>
            <w:tcBorders>
              <w:top w:val="nil"/>
              <w:left w:val="nil"/>
              <w:bottom w:val="nil"/>
              <w:right w:val="nil"/>
            </w:tcBorders>
            <w:shd w:val="clear" w:color="auto" w:fill="auto"/>
            <w:noWrap/>
            <w:vAlign w:val="bottom"/>
            <w:hideMark/>
          </w:tcPr>
          <w:p w:rsidR="00AB338C" w:rsidRPr="00257E4A" w:rsidRDefault="00AB338C" w:rsidP="00AB338C">
            <w:pPr>
              <w:autoSpaceDE/>
              <w:autoSpaceDN/>
              <w:rPr>
                <w:rFonts w:asciiTheme="minorHAnsi" w:hAnsiTheme="minorHAnsi"/>
                <w:color w:val="000000"/>
                <w:sz w:val="18"/>
                <w:szCs w:val="18"/>
              </w:rPr>
            </w:pPr>
            <w:r w:rsidRPr="00257E4A">
              <w:rPr>
                <w:rFonts w:asciiTheme="minorHAnsi" w:hAnsiTheme="minorHAnsi"/>
                <w:color w:val="000000"/>
                <w:sz w:val="18"/>
                <w:szCs w:val="18"/>
              </w:rPr>
              <w:t>Ayuntamiento &gt;20000 habitantes (14%)</w:t>
            </w:r>
          </w:p>
        </w:tc>
        <w:tc>
          <w:tcPr>
            <w:tcW w:w="1313"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2.086.973,21</w:t>
            </w:r>
          </w:p>
        </w:tc>
        <w:tc>
          <w:tcPr>
            <w:tcW w:w="1381"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2.040.292,23</w:t>
            </w:r>
          </w:p>
        </w:tc>
        <w:tc>
          <w:tcPr>
            <w:tcW w:w="1275" w:type="dxa"/>
            <w:tcBorders>
              <w:top w:val="nil"/>
              <w:left w:val="nil"/>
              <w:bottom w:val="nil"/>
              <w:right w:val="nil"/>
            </w:tcBorders>
            <w:shd w:val="clear" w:color="auto" w:fill="auto"/>
            <w:noWrap/>
            <w:vAlign w:val="bottom"/>
          </w:tcPr>
          <w:p w:rsidR="00AB338C" w:rsidRPr="00C46DD2" w:rsidRDefault="00AB338C" w:rsidP="00AB338C">
            <w:pPr>
              <w:jc w:val="right"/>
              <w:rPr>
                <w:rFonts w:ascii="Calibri" w:hAnsi="Calibri"/>
                <w:color w:val="000000"/>
                <w:sz w:val="16"/>
                <w:szCs w:val="16"/>
              </w:rPr>
            </w:pPr>
            <w:r w:rsidRPr="00C46DD2">
              <w:rPr>
                <w:rFonts w:ascii="Calibri" w:hAnsi="Calibri"/>
                <w:color w:val="000000"/>
                <w:sz w:val="16"/>
                <w:szCs w:val="16"/>
              </w:rPr>
              <w:t>2,29%</w:t>
            </w:r>
          </w:p>
        </w:tc>
        <w:tc>
          <w:tcPr>
            <w:tcW w:w="284"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p>
        </w:tc>
        <w:tc>
          <w:tcPr>
            <w:tcW w:w="850"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10,5</w:t>
            </w:r>
            <w:r>
              <w:rPr>
                <w:rFonts w:asciiTheme="minorHAnsi" w:hAnsiTheme="minorHAnsi"/>
                <w:color w:val="000000"/>
                <w:sz w:val="18"/>
                <w:szCs w:val="18"/>
              </w:rPr>
              <w:t>3</w:t>
            </w:r>
            <w:r w:rsidRPr="00257E4A">
              <w:rPr>
                <w:rFonts w:asciiTheme="minorHAnsi" w:hAnsiTheme="minorHAnsi"/>
                <w:color w:val="000000"/>
                <w:sz w:val="18"/>
                <w:szCs w:val="18"/>
              </w:rPr>
              <w:t>%</w:t>
            </w:r>
          </w:p>
        </w:tc>
      </w:tr>
      <w:tr w:rsidR="00AB338C" w:rsidRPr="00C46DD2" w:rsidTr="00AB338C">
        <w:trPr>
          <w:trHeight w:val="255"/>
        </w:trPr>
        <w:tc>
          <w:tcPr>
            <w:tcW w:w="3402" w:type="dxa"/>
            <w:tcBorders>
              <w:top w:val="nil"/>
              <w:left w:val="nil"/>
              <w:bottom w:val="nil"/>
              <w:right w:val="nil"/>
            </w:tcBorders>
            <w:shd w:val="clear" w:color="auto" w:fill="auto"/>
            <w:noWrap/>
            <w:vAlign w:val="bottom"/>
            <w:hideMark/>
          </w:tcPr>
          <w:p w:rsidR="00AB338C" w:rsidRPr="00257E4A" w:rsidRDefault="00AB338C" w:rsidP="00AB338C">
            <w:pPr>
              <w:autoSpaceDE/>
              <w:autoSpaceDN/>
              <w:rPr>
                <w:rFonts w:asciiTheme="minorHAnsi" w:hAnsiTheme="minorHAnsi"/>
                <w:color w:val="000000"/>
                <w:sz w:val="18"/>
                <w:szCs w:val="18"/>
              </w:rPr>
            </w:pPr>
            <w:r w:rsidRPr="00257E4A">
              <w:rPr>
                <w:rFonts w:asciiTheme="minorHAnsi" w:hAnsiTheme="minorHAnsi"/>
                <w:color w:val="000000"/>
                <w:sz w:val="18"/>
                <w:szCs w:val="18"/>
              </w:rPr>
              <w:t>Ayuntamiento &lt;20000 habitantes (6%)</w:t>
            </w:r>
          </w:p>
        </w:tc>
        <w:tc>
          <w:tcPr>
            <w:tcW w:w="1313"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894.417,09</w:t>
            </w:r>
          </w:p>
        </w:tc>
        <w:tc>
          <w:tcPr>
            <w:tcW w:w="1381"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874.410,96</w:t>
            </w:r>
          </w:p>
        </w:tc>
        <w:tc>
          <w:tcPr>
            <w:tcW w:w="1275" w:type="dxa"/>
            <w:tcBorders>
              <w:top w:val="nil"/>
              <w:left w:val="nil"/>
              <w:bottom w:val="nil"/>
              <w:right w:val="nil"/>
            </w:tcBorders>
            <w:shd w:val="clear" w:color="auto" w:fill="auto"/>
            <w:noWrap/>
            <w:vAlign w:val="bottom"/>
          </w:tcPr>
          <w:p w:rsidR="00AB338C" w:rsidRPr="00C46DD2" w:rsidRDefault="00AB338C" w:rsidP="00AB338C">
            <w:pPr>
              <w:jc w:val="right"/>
              <w:rPr>
                <w:rFonts w:ascii="Calibri" w:hAnsi="Calibri"/>
                <w:color w:val="000000"/>
                <w:sz w:val="16"/>
                <w:szCs w:val="16"/>
              </w:rPr>
            </w:pPr>
            <w:r w:rsidRPr="00C46DD2">
              <w:rPr>
                <w:rFonts w:ascii="Calibri" w:hAnsi="Calibri"/>
                <w:color w:val="000000"/>
                <w:sz w:val="16"/>
                <w:szCs w:val="16"/>
              </w:rPr>
              <w:t>2,29%</w:t>
            </w:r>
          </w:p>
        </w:tc>
        <w:tc>
          <w:tcPr>
            <w:tcW w:w="284"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p>
        </w:tc>
        <w:tc>
          <w:tcPr>
            <w:tcW w:w="850" w:type="dxa"/>
            <w:tcBorders>
              <w:top w:val="nil"/>
              <w:left w:val="nil"/>
              <w:bottom w:val="nil"/>
              <w:right w:val="nil"/>
            </w:tcBorders>
            <w:shd w:val="clear" w:color="auto" w:fill="auto"/>
            <w:noWrap/>
            <w:vAlign w:val="bottom"/>
            <w:hideMark/>
          </w:tcPr>
          <w:p w:rsidR="00AB338C" w:rsidRPr="00257E4A" w:rsidRDefault="00AB338C" w:rsidP="00AB338C">
            <w:pPr>
              <w:autoSpaceDE/>
              <w:autoSpaceDN/>
              <w:jc w:val="right"/>
              <w:rPr>
                <w:rFonts w:asciiTheme="minorHAnsi" w:hAnsiTheme="minorHAnsi"/>
                <w:color w:val="000000"/>
                <w:sz w:val="18"/>
                <w:szCs w:val="18"/>
              </w:rPr>
            </w:pPr>
            <w:r w:rsidRPr="00257E4A">
              <w:rPr>
                <w:rFonts w:asciiTheme="minorHAnsi" w:hAnsiTheme="minorHAnsi"/>
                <w:color w:val="000000"/>
                <w:sz w:val="18"/>
                <w:szCs w:val="18"/>
              </w:rPr>
              <w:t>4,5</w:t>
            </w:r>
            <w:r>
              <w:rPr>
                <w:rFonts w:asciiTheme="minorHAnsi" w:hAnsiTheme="minorHAnsi"/>
                <w:color w:val="000000"/>
                <w:sz w:val="18"/>
                <w:szCs w:val="18"/>
              </w:rPr>
              <w:t>1</w:t>
            </w:r>
            <w:r w:rsidRPr="00257E4A">
              <w:rPr>
                <w:rFonts w:asciiTheme="minorHAnsi" w:hAnsiTheme="minorHAnsi"/>
                <w:color w:val="000000"/>
                <w:sz w:val="18"/>
                <w:szCs w:val="18"/>
              </w:rPr>
              <w:t>%</w:t>
            </w:r>
          </w:p>
        </w:tc>
      </w:tr>
    </w:tbl>
    <w:p w:rsidR="00AB338C" w:rsidRDefault="00AB338C" w:rsidP="00AB338C">
      <w:pPr>
        <w:spacing w:line="300" w:lineRule="auto"/>
        <w:ind w:firstLine="709"/>
        <w:jc w:val="both"/>
        <w:rPr>
          <w:rFonts w:ascii="Calibri" w:hAnsi="Calibri" w:cs="Arial"/>
          <w:bCs/>
          <w:sz w:val="22"/>
          <w:szCs w:val="22"/>
        </w:rPr>
      </w:pPr>
    </w:p>
    <w:p w:rsidR="00AB338C" w:rsidRDefault="00AB338C" w:rsidP="00AB338C">
      <w:pPr>
        <w:spacing w:line="300" w:lineRule="auto"/>
        <w:ind w:firstLine="709"/>
        <w:jc w:val="both"/>
        <w:rPr>
          <w:rFonts w:ascii="Calibri" w:hAnsi="Calibri" w:cs="Arial"/>
          <w:bCs/>
          <w:sz w:val="22"/>
          <w:szCs w:val="22"/>
        </w:rPr>
      </w:pPr>
    </w:p>
    <w:p w:rsidR="00AB338C" w:rsidRDefault="00AB338C" w:rsidP="00AB338C">
      <w:pPr>
        <w:spacing w:after="120" w:line="300" w:lineRule="auto"/>
        <w:ind w:firstLine="709"/>
        <w:jc w:val="both"/>
        <w:rPr>
          <w:rFonts w:ascii="Calibri" w:hAnsi="Calibri" w:cs="Arial"/>
          <w:bCs/>
          <w:sz w:val="22"/>
          <w:szCs w:val="22"/>
        </w:rPr>
      </w:pPr>
      <w:r w:rsidRPr="002076A8">
        <w:rPr>
          <w:rFonts w:ascii="Calibri" w:hAnsi="Calibri" w:cs="Arial"/>
          <w:bCs/>
          <w:sz w:val="22"/>
          <w:szCs w:val="22"/>
        </w:rPr>
        <w:t xml:space="preserve">2.- </w:t>
      </w:r>
      <w:r w:rsidRPr="002076A8">
        <w:rPr>
          <w:rFonts w:ascii="Calibri" w:hAnsi="Calibri" w:cs="Arial"/>
          <w:bCs/>
          <w:sz w:val="22"/>
          <w:szCs w:val="22"/>
          <w:u w:val="single"/>
        </w:rPr>
        <w:t>Comunidad Autónoma de Canarias</w:t>
      </w:r>
      <w:r w:rsidRPr="002076A8">
        <w:rPr>
          <w:rFonts w:ascii="Calibri" w:hAnsi="Calibri" w:cs="Arial"/>
          <w:bCs/>
          <w:sz w:val="22"/>
          <w:szCs w:val="22"/>
        </w:rPr>
        <w:t>, que participa en la cantidad que determine en la Ley de Presupuestos Generales de su Comunidad para cada año.</w:t>
      </w:r>
    </w:p>
    <w:p w:rsidR="00AB338C" w:rsidRPr="001A71A8" w:rsidRDefault="00AB338C" w:rsidP="00AB338C">
      <w:pPr>
        <w:spacing w:after="120" w:line="300" w:lineRule="auto"/>
        <w:ind w:firstLine="709"/>
        <w:jc w:val="both"/>
        <w:rPr>
          <w:rFonts w:ascii="Calibri" w:hAnsi="Calibri" w:cs="Arial"/>
          <w:bCs/>
          <w:sz w:val="22"/>
          <w:szCs w:val="22"/>
        </w:rPr>
      </w:pPr>
      <w:r>
        <w:rPr>
          <w:rFonts w:ascii="Calibri" w:hAnsi="Calibri" w:cs="Arial"/>
          <w:bCs/>
          <w:sz w:val="22"/>
          <w:szCs w:val="22"/>
        </w:rPr>
        <w:t xml:space="preserve">En el momento de elaboración de este Presupuesto para 2020en el Proyecto de Ley de Presupuestos de la Comunidad Autónoma de Canarias para el ejercicio 2020, el Gobierno de Canarias ha presupuestado la misma cantidad que en los últimos años, </w:t>
      </w:r>
      <w:r w:rsidRPr="001A71A8">
        <w:rPr>
          <w:rFonts w:ascii="Calibri" w:hAnsi="Calibri" w:cs="Arial"/>
          <w:bCs/>
          <w:sz w:val="22"/>
          <w:szCs w:val="22"/>
        </w:rPr>
        <w:t>1.801.374,00 euros</w:t>
      </w:r>
      <w:r>
        <w:rPr>
          <w:rFonts w:ascii="Calibri" w:hAnsi="Calibri" w:cs="Arial"/>
          <w:bCs/>
          <w:sz w:val="22"/>
          <w:szCs w:val="22"/>
        </w:rPr>
        <w:t>.</w:t>
      </w:r>
    </w:p>
    <w:p w:rsidR="00AB338C" w:rsidRPr="00152009" w:rsidRDefault="00AB338C" w:rsidP="00AB338C">
      <w:pPr>
        <w:pStyle w:val="Prrafodelista"/>
        <w:numPr>
          <w:ilvl w:val="0"/>
          <w:numId w:val="1"/>
        </w:numPr>
        <w:spacing w:before="120" w:line="300" w:lineRule="auto"/>
        <w:jc w:val="both"/>
        <w:rPr>
          <w:rFonts w:ascii="Calibri" w:hAnsi="Calibri" w:cs="Arial"/>
          <w:bCs/>
          <w:sz w:val="22"/>
          <w:szCs w:val="22"/>
        </w:rPr>
      </w:pPr>
      <w:r w:rsidRPr="00152009">
        <w:rPr>
          <w:rFonts w:ascii="Calibri" w:hAnsi="Calibri" w:cs="Arial"/>
          <w:bCs/>
          <w:sz w:val="22"/>
          <w:szCs w:val="22"/>
        </w:rPr>
        <w:t xml:space="preserve">El </w:t>
      </w:r>
      <w:r w:rsidRPr="00152009">
        <w:rPr>
          <w:rFonts w:ascii="Calibri" w:hAnsi="Calibri" w:cs="Arial"/>
          <w:b/>
          <w:bCs/>
          <w:sz w:val="22"/>
          <w:szCs w:val="22"/>
        </w:rPr>
        <w:t>Capítulo V, Ingresos patrimoniales</w:t>
      </w:r>
    </w:p>
    <w:p w:rsidR="00AB338C" w:rsidRPr="00152009" w:rsidRDefault="00AB338C" w:rsidP="00AB338C">
      <w:pPr>
        <w:spacing w:before="120" w:line="300" w:lineRule="auto"/>
        <w:ind w:firstLine="720"/>
        <w:jc w:val="both"/>
        <w:rPr>
          <w:rFonts w:ascii="Calibri" w:hAnsi="Calibri" w:cs="Arial"/>
          <w:bCs/>
          <w:sz w:val="22"/>
          <w:szCs w:val="22"/>
        </w:rPr>
      </w:pPr>
      <w:r w:rsidRPr="00152009">
        <w:rPr>
          <w:rFonts w:ascii="Calibri" w:hAnsi="Calibri" w:cs="Arial"/>
          <w:bCs/>
          <w:sz w:val="22"/>
          <w:szCs w:val="22"/>
        </w:rPr>
        <w:t xml:space="preserve">En este capítulo solo se recoge los intereses de las cuentas bancarias cuya estimación para este ejercicio se prevé </w:t>
      </w:r>
      <w:r>
        <w:rPr>
          <w:rFonts w:ascii="Calibri" w:hAnsi="Calibri" w:cs="Arial"/>
          <w:bCs/>
          <w:sz w:val="22"/>
          <w:szCs w:val="22"/>
        </w:rPr>
        <w:t xml:space="preserve">en </w:t>
      </w:r>
      <w:r w:rsidRPr="00152009">
        <w:rPr>
          <w:rFonts w:ascii="Calibri" w:hAnsi="Calibri" w:cs="Arial"/>
          <w:bCs/>
          <w:sz w:val="22"/>
          <w:szCs w:val="22"/>
        </w:rPr>
        <w:t>500</w:t>
      </w:r>
      <w:r>
        <w:rPr>
          <w:rFonts w:ascii="Calibri" w:hAnsi="Calibri" w:cs="Arial"/>
          <w:bCs/>
          <w:sz w:val="22"/>
          <w:szCs w:val="22"/>
        </w:rPr>
        <w:t>,00</w:t>
      </w:r>
      <w:r w:rsidRPr="00152009">
        <w:rPr>
          <w:rFonts w:ascii="Calibri" w:hAnsi="Calibri" w:cs="Arial"/>
          <w:bCs/>
          <w:sz w:val="22"/>
          <w:szCs w:val="22"/>
        </w:rPr>
        <w:t xml:space="preserve"> euros, debido a la bajada del Euribor y de la disminución de los excedentes de tesorería materializados en imposiciones a plazo fijo (I.P.F.). </w:t>
      </w:r>
    </w:p>
    <w:p w:rsidR="00AB338C" w:rsidRPr="00152009" w:rsidRDefault="00AB338C" w:rsidP="00AB338C">
      <w:pPr>
        <w:spacing w:before="120" w:line="300" w:lineRule="auto"/>
        <w:ind w:firstLine="709"/>
        <w:jc w:val="both"/>
        <w:rPr>
          <w:rFonts w:ascii="Calibri" w:hAnsi="Calibri" w:cs="Arial"/>
          <w:bCs/>
          <w:sz w:val="22"/>
          <w:szCs w:val="22"/>
        </w:rPr>
      </w:pPr>
      <w:r w:rsidRPr="00152009">
        <w:rPr>
          <w:rFonts w:ascii="Calibri" w:hAnsi="Calibri" w:cs="Arial"/>
          <w:bCs/>
          <w:sz w:val="22"/>
          <w:szCs w:val="22"/>
        </w:rPr>
        <w:t xml:space="preserve">Este Capítulo supone el </w:t>
      </w:r>
      <w:r w:rsidRPr="00152009">
        <w:rPr>
          <w:rFonts w:ascii="Calibri" w:hAnsi="Calibri" w:cs="Arial"/>
          <w:b/>
          <w:bCs/>
          <w:sz w:val="22"/>
          <w:szCs w:val="22"/>
        </w:rPr>
        <w:t>0,0</w:t>
      </w:r>
      <w:r>
        <w:rPr>
          <w:rFonts w:ascii="Calibri" w:hAnsi="Calibri" w:cs="Arial"/>
          <w:b/>
          <w:bCs/>
          <w:sz w:val="22"/>
          <w:szCs w:val="22"/>
        </w:rPr>
        <w:t>025</w:t>
      </w:r>
      <w:r w:rsidRPr="00152009">
        <w:rPr>
          <w:rFonts w:ascii="Calibri" w:hAnsi="Calibri" w:cs="Arial"/>
          <w:b/>
          <w:bCs/>
          <w:sz w:val="22"/>
          <w:szCs w:val="22"/>
        </w:rPr>
        <w:t xml:space="preserve"> %</w:t>
      </w:r>
      <w:r w:rsidRPr="00152009">
        <w:rPr>
          <w:rFonts w:ascii="Calibri" w:hAnsi="Calibri" w:cs="Arial"/>
          <w:bCs/>
          <w:sz w:val="22"/>
          <w:szCs w:val="22"/>
        </w:rPr>
        <w:t xml:space="preserve"> del total del Presupuesto de ingresos.</w:t>
      </w:r>
    </w:p>
    <w:p w:rsidR="00AB338C" w:rsidRPr="00B73E18" w:rsidRDefault="00AB338C" w:rsidP="00AB338C">
      <w:pPr>
        <w:spacing w:before="120" w:line="300" w:lineRule="auto"/>
        <w:ind w:firstLine="709"/>
        <w:jc w:val="both"/>
        <w:rPr>
          <w:rFonts w:ascii="Calibri" w:hAnsi="Calibri" w:cs="Arial"/>
          <w:bCs/>
          <w:color w:val="FF0000"/>
          <w:sz w:val="22"/>
          <w:szCs w:val="22"/>
        </w:rPr>
      </w:pPr>
    </w:p>
    <w:p w:rsidR="00AB338C" w:rsidRPr="00CD19F5" w:rsidRDefault="00AB338C" w:rsidP="00AB338C">
      <w:pPr>
        <w:pStyle w:val="Prrafodelista"/>
        <w:numPr>
          <w:ilvl w:val="0"/>
          <w:numId w:val="1"/>
        </w:numPr>
        <w:spacing w:before="120" w:line="300" w:lineRule="auto"/>
        <w:jc w:val="both"/>
        <w:rPr>
          <w:rFonts w:ascii="Calibri" w:hAnsi="Calibri" w:cs="Arial"/>
          <w:bCs/>
          <w:sz w:val="22"/>
          <w:szCs w:val="22"/>
        </w:rPr>
      </w:pPr>
      <w:r w:rsidRPr="00CD19F5">
        <w:rPr>
          <w:rFonts w:ascii="Calibri" w:hAnsi="Calibri" w:cs="Arial"/>
          <w:bCs/>
          <w:sz w:val="22"/>
          <w:szCs w:val="22"/>
        </w:rPr>
        <w:t xml:space="preserve">El </w:t>
      </w:r>
      <w:r w:rsidRPr="00CD19F5">
        <w:rPr>
          <w:rFonts w:ascii="Calibri" w:hAnsi="Calibri" w:cs="Arial"/>
          <w:b/>
          <w:bCs/>
          <w:sz w:val="22"/>
          <w:szCs w:val="22"/>
        </w:rPr>
        <w:t>Capítulo VII, Transferencias de capital</w:t>
      </w:r>
    </w:p>
    <w:p w:rsidR="00AB338C" w:rsidRDefault="00AB338C" w:rsidP="00AB338C">
      <w:pPr>
        <w:spacing w:before="120" w:line="300" w:lineRule="auto"/>
        <w:ind w:firstLine="709"/>
        <w:jc w:val="both"/>
        <w:rPr>
          <w:rFonts w:ascii="Calibri" w:hAnsi="Calibri" w:cs="Arial"/>
          <w:bCs/>
          <w:sz w:val="22"/>
          <w:szCs w:val="22"/>
        </w:rPr>
      </w:pPr>
      <w:r w:rsidRPr="00CD19F5">
        <w:rPr>
          <w:rFonts w:ascii="Calibri" w:hAnsi="Calibri" w:cs="Arial"/>
          <w:bCs/>
          <w:sz w:val="22"/>
          <w:szCs w:val="22"/>
        </w:rPr>
        <w:t xml:space="preserve">Este capítulo se cifra en </w:t>
      </w:r>
      <w:r>
        <w:rPr>
          <w:rFonts w:ascii="Calibri" w:hAnsi="Calibri" w:cs="Arial"/>
          <w:bCs/>
          <w:sz w:val="22"/>
          <w:szCs w:val="22"/>
        </w:rPr>
        <w:t>421.801,32 euros e incluye:</w:t>
      </w:r>
    </w:p>
    <w:p w:rsidR="00AB338C" w:rsidRDefault="00AB338C" w:rsidP="00AB338C">
      <w:pPr>
        <w:spacing w:before="120" w:line="300" w:lineRule="auto"/>
        <w:ind w:firstLine="709"/>
        <w:jc w:val="both"/>
        <w:rPr>
          <w:rFonts w:asciiTheme="minorHAnsi" w:hAnsiTheme="minorHAnsi" w:cs="Arial"/>
          <w:bCs/>
          <w:sz w:val="22"/>
          <w:szCs w:val="22"/>
        </w:rPr>
      </w:pPr>
      <w:r>
        <w:rPr>
          <w:rFonts w:ascii="Calibri" w:hAnsi="Calibri" w:cs="Arial"/>
          <w:bCs/>
          <w:sz w:val="22"/>
          <w:szCs w:val="22"/>
        </w:rPr>
        <w:t xml:space="preserve">-Una </w:t>
      </w:r>
      <w:r w:rsidRPr="00CD19F5">
        <w:rPr>
          <w:rFonts w:ascii="Calibri" w:hAnsi="Calibri" w:cs="Arial"/>
          <w:bCs/>
          <w:sz w:val="22"/>
          <w:szCs w:val="22"/>
        </w:rPr>
        <w:t>aportaci</w:t>
      </w:r>
      <w:r>
        <w:rPr>
          <w:rFonts w:ascii="Calibri" w:hAnsi="Calibri" w:cs="Arial"/>
          <w:bCs/>
          <w:sz w:val="22"/>
          <w:szCs w:val="22"/>
        </w:rPr>
        <w:t>ó</w:t>
      </w:r>
      <w:r w:rsidRPr="00CD19F5">
        <w:rPr>
          <w:rFonts w:ascii="Calibri" w:hAnsi="Calibri" w:cs="Arial"/>
          <w:bCs/>
          <w:sz w:val="22"/>
          <w:szCs w:val="22"/>
        </w:rPr>
        <w:t xml:space="preserve">n de capital </w:t>
      </w:r>
      <w:r>
        <w:rPr>
          <w:rFonts w:ascii="Calibri" w:hAnsi="Calibri" w:cs="Arial"/>
          <w:bCs/>
          <w:sz w:val="22"/>
          <w:szCs w:val="22"/>
        </w:rPr>
        <w:t>del Excmo. Cabildo de Tenerife,</w:t>
      </w:r>
      <w:r w:rsidR="002E41C7">
        <w:rPr>
          <w:rFonts w:ascii="Calibri" w:hAnsi="Calibri" w:cs="Arial"/>
          <w:bCs/>
          <w:sz w:val="22"/>
          <w:szCs w:val="22"/>
        </w:rPr>
        <w:t xml:space="preserve"> </w:t>
      </w:r>
      <w:r>
        <w:rPr>
          <w:rFonts w:ascii="Calibri" w:hAnsi="Calibri" w:cs="Arial"/>
          <w:bCs/>
          <w:sz w:val="22"/>
          <w:szCs w:val="22"/>
        </w:rPr>
        <w:t>que se había presupuestado en el ejercicio anterior, para poner en funcionamiento el Parque de Bomberos de Güímar por importe de 378.990,00 euros. Sin embargo, e</w:t>
      </w:r>
      <w:r>
        <w:rPr>
          <w:rFonts w:asciiTheme="minorHAnsi" w:hAnsiTheme="minorHAnsi" w:cs="Arial"/>
          <w:bCs/>
          <w:sz w:val="22"/>
          <w:szCs w:val="22"/>
        </w:rPr>
        <w:t>l otorgamiento de la anualidad del ejercicio 2019 estaba condicionada a la ejecución del gasto financiado por una aportación del año 2018 para el mismo fin. El retraso de las obras del Parque de Bomberos ha supuesto no haber podido justificarla aportación del 2018, por lo que el otorgamiento del 2019 no se ha realizado, teniendo que volver a presupuestar en este ejercicio la misma cantidad.</w:t>
      </w:r>
    </w:p>
    <w:p w:rsidR="00AB338C" w:rsidRPr="004F6428" w:rsidRDefault="00AB338C" w:rsidP="00AB338C">
      <w:pPr>
        <w:spacing w:before="120" w:line="300" w:lineRule="auto"/>
        <w:ind w:firstLine="709"/>
        <w:jc w:val="both"/>
        <w:rPr>
          <w:rFonts w:ascii="Calibri" w:hAnsi="Calibri" w:cs="Arial"/>
          <w:bCs/>
          <w:sz w:val="22"/>
          <w:szCs w:val="22"/>
        </w:rPr>
      </w:pPr>
      <w:r>
        <w:rPr>
          <w:rFonts w:asciiTheme="minorHAnsi" w:hAnsiTheme="minorHAnsi" w:cs="Arial"/>
          <w:bCs/>
          <w:sz w:val="22"/>
          <w:szCs w:val="22"/>
        </w:rPr>
        <w:t xml:space="preserve">- </w:t>
      </w:r>
      <w:r>
        <w:rPr>
          <w:rFonts w:ascii="Calibri" w:hAnsi="Calibri" w:cs="Arial"/>
          <w:bCs/>
          <w:sz w:val="22"/>
          <w:szCs w:val="22"/>
        </w:rPr>
        <w:t>Y una aportación específica de capital en especie por importe de 42.811,32 euros para la compra de material de electrónica.</w:t>
      </w:r>
    </w:p>
    <w:p w:rsidR="00AB338C" w:rsidRDefault="00AB338C" w:rsidP="00AB338C">
      <w:pPr>
        <w:pStyle w:val="Prrafodelista"/>
        <w:spacing w:before="120" w:line="300" w:lineRule="auto"/>
        <w:ind w:left="0" w:firstLine="567"/>
        <w:jc w:val="both"/>
        <w:rPr>
          <w:rFonts w:ascii="Calibri" w:hAnsi="Calibri" w:cs="Arial"/>
          <w:bCs/>
          <w:sz w:val="22"/>
          <w:szCs w:val="22"/>
        </w:rPr>
      </w:pPr>
      <w:r>
        <w:rPr>
          <w:rFonts w:ascii="Calibri" w:hAnsi="Calibri" w:cs="Arial"/>
          <w:bCs/>
          <w:sz w:val="22"/>
          <w:szCs w:val="22"/>
        </w:rPr>
        <w:t>Este capítulo ha disminuido con respecto al del ejercicio 2019 en un 54,57%, que en términos absolutos se cifra en 506.641,24 euros.</w:t>
      </w:r>
      <w:r w:rsidR="002E41C7">
        <w:rPr>
          <w:rFonts w:ascii="Calibri" w:hAnsi="Calibri" w:cs="Arial"/>
          <w:bCs/>
          <w:sz w:val="22"/>
          <w:szCs w:val="22"/>
        </w:rPr>
        <w:t xml:space="preserve"> </w:t>
      </w:r>
      <w:r>
        <w:rPr>
          <w:rFonts w:ascii="Calibri" w:hAnsi="Calibri" w:cs="Arial"/>
          <w:bCs/>
          <w:sz w:val="22"/>
          <w:szCs w:val="22"/>
        </w:rPr>
        <w:t>Esto es debido a que la aportación del 40% que le corresponde por los Estatutos del Consorcio al Cabildo de Tenerife, durante el ejercicio 2019 una parte fue aportada en el capítulo IV y otra en el capítulo VII. Sin embargo, en este ejercicio la aportación se realizará íntegramente por el capítulo IV (Transferencias corrientes).</w:t>
      </w:r>
    </w:p>
    <w:p w:rsidR="00AB338C" w:rsidRDefault="00AB338C" w:rsidP="00AB338C">
      <w:pPr>
        <w:pStyle w:val="Prrafodelista"/>
        <w:spacing w:before="120" w:line="300" w:lineRule="auto"/>
        <w:ind w:left="0" w:firstLine="709"/>
        <w:jc w:val="both"/>
        <w:rPr>
          <w:rFonts w:ascii="Calibri" w:hAnsi="Calibri" w:cs="Arial"/>
          <w:bCs/>
          <w:sz w:val="22"/>
          <w:szCs w:val="22"/>
        </w:rPr>
      </w:pPr>
    </w:p>
    <w:p w:rsidR="00AB338C" w:rsidRPr="00CD19F5" w:rsidRDefault="00AB338C" w:rsidP="00AB338C">
      <w:pPr>
        <w:pStyle w:val="Prrafodelista"/>
        <w:spacing w:before="120" w:line="300" w:lineRule="auto"/>
        <w:ind w:left="0" w:firstLine="709"/>
        <w:jc w:val="both"/>
        <w:rPr>
          <w:rFonts w:ascii="Calibri" w:hAnsi="Calibri" w:cs="Arial"/>
          <w:bCs/>
          <w:sz w:val="22"/>
          <w:szCs w:val="22"/>
        </w:rPr>
      </w:pPr>
    </w:p>
    <w:p w:rsidR="00AB338C" w:rsidRPr="00CD19F5" w:rsidRDefault="00AB338C" w:rsidP="00AB338C">
      <w:pPr>
        <w:pStyle w:val="Prrafodelista"/>
        <w:numPr>
          <w:ilvl w:val="0"/>
          <w:numId w:val="1"/>
        </w:numPr>
        <w:spacing w:before="120" w:line="300" w:lineRule="auto"/>
        <w:jc w:val="both"/>
        <w:rPr>
          <w:rFonts w:ascii="Calibri" w:hAnsi="Calibri" w:cs="Arial"/>
          <w:bCs/>
          <w:sz w:val="22"/>
          <w:szCs w:val="22"/>
        </w:rPr>
      </w:pPr>
      <w:r w:rsidRPr="00CD19F5">
        <w:rPr>
          <w:rFonts w:ascii="Calibri" w:hAnsi="Calibri" w:cs="Arial"/>
          <w:bCs/>
          <w:sz w:val="22"/>
          <w:szCs w:val="22"/>
        </w:rPr>
        <w:t xml:space="preserve">El </w:t>
      </w:r>
      <w:r w:rsidRPr="00CD19F5">
        <w:rPr>
          <w:rFonts w:ascii="Calibri" w:hAnsi="Calibri" w:cs="Arial"/>
          <w:b/>
          <w:bCs/>
          <w:i/>
          <w:sz w:val="22"/>
          <w:szCs w:val="22"/>
        </w:rPr>
        <w:t>Capítulo VIII</w:t>
      </w:r>
      <w:r w:rsidRPr="00CD19F5">
        <w:rPr>
          <w:rFonts w:ascii="Calibri" w:hAnsi="Calibri" w:cs="Arial"/>
          <w:bCs/>
          <w:sz w:val="22"/>
          <w:szCs w:val="22"/>
        </w:rPr>
        <w:t xml:space="preserve">, </w:t>
      </w:r>
      <w:r w:rsidRPr="00CD19F5">
        <w:rPr>
          <w:rFonts w:ascii="Calibri" w:hAnsi="Calibri" w:cs="Arial"/>
          <w:b/>
          <w:bCs/>
          <w:sz w:val="22"/>
          <w:szCs w:val="22"/>
        </w:rPr>
        <w:t>Activos financieros</w:t>
      </w:r>
    </w:p>
    <w:p w:rsidR="00AB338C" w:rsidRPr="00CD19F5" w:rsidRDefault="00AB338C" w:rsidP="00AB338C">
      <w:pPr>
        <w:spacing w:before="120" w:line="300" w:lineRule="auto"/>
        <w:ind w:firstLine="709"/>
        <w:jc w:val="both"/>
        <w:rPr>
          <w:rFonts w:ascii="Calibri" w:hAnsi="Calibri" w:cs="Arial"/>
          <w:bCs/>
          <w:sz w:val="22"/>
          <w:szCs w:val="22"/>
        </w:rPr>
      </w:pPr>
      <w:r w:rsidRPr="00CD19F5">
        <w:rPr>
          <w:rFonts w:ascii="Calibri" w:hAnsi="Calibri" w:cs="Arial"/>
          <w:bCs/>
          <w:sz w:val="22"/>
          <w:szCs w:val="22"/>
        </w:rPr>
        <w:lastRenderedPageBreak/>
        <w:t>En el capítulo VIII solo</w:t>
      </w:r>
      <w:r w:rsidR="002E41C7">
        <w:rPr>
          <w:rFonts w:ascii="Calibri" w:hAnsi="Calibri" w:cs="Arial"/>
          <w:bCs/>
          <w:sz w:val="22"/>
          <w:szCs w:val="22"/>
        </w:rPr>
        <w:t xml:space="preserve"> </w:t>
      </w:r>
      <w:r w:rsidRPr="00CD19F5">
        <w:rPr>
          <w:rFonts w:ascii="Calibri" w:hAnsi="Calibri" w:cs="Arial"/>
          <w:bCs/>
          <w:sz w:val="22"/>
          <w:szCs w:val="22"/>
        </w:rPr>
        <w:t>se recoge los préstamos por anticipos al personal</w:t>
      </w:r>
      <w:r w:rsidR="002E41C7">
        <w:rPr>
          <w:rFonts w:ascii="Calibri" w:hAnsi="Calibri" w:cs="Arial"/>
          <w:bCs/>
          <w:sz w:val="22"/>
          <w:szCs w:val="22"/>
        </w:rPr>
        <w:t xml:space="preserve"> </w:t>
      </w:r>
      <w:r w:rsidRPr="00CD19F5">
        <w:rPr>
          <w:rFonts w:ascii="Calibri" w:hAnsi="Calibri" w:cs="Arial"/>
          <w:bCs/>
          <w:sz w:val="22"/>
          <w:szCs w:val="22"/>
        </w:rPr>
        <w:t>al que tienen derecho los trabajadores del Consorcio, y que se establecen en el acuerdo del personal funcionario y el convenio del personal laboral, que no experimenta variación alguna, y que se cifra en el 0,5</w:t>
      </w:r>
      <w:r>
        <w:rPr>
          <w:rFonts w:ascii="Calibri" w:hAnsi="Calibri" w:cs="Arial"/>
          <w:bCs/>
          <w:sz w:val="22"/>
          <w:szCs w:val="22"/>
        </w:rPr>
        <w:t>5</w:t>
      </w:r>
      <w:r w:rsidRPr="00CD19F5">
        <w:rPr>
          <w:rFonts w:ascii="Calibri" w:hAnsi="Calibri" w:cs="Arial"/>
          <w:bCs/>
          <w:sz w:val="22"/>
          <w:szCs w:val="22"/>
        </w:rPr>
        <w:t>% del total del presupuesto.</w:t>
      </w:r>
    </w:p>
    <w:p w:rsidR="00AB338C" w:rsidRDefault="00AB338C" w:rsidP="00AB338C">
      <w:pPr>
        <w:spacing w:before="120" w:line="300" w:lineRule="auto"/>
        <w:ind w:firstLine="709"/>
        <w:jc w:val="both"/>
        <w:rPr>
          <w:rFonts w:ascii="Calibri" w:hAnsi="Calibri" w:cs="Arial"/>
          <w:bCs/>
          <w:sz w:val="22"/>
          <w:szCs w:val="22"/>
        </w:rPr>
      </w:pPr>
    </w:p>
    <w:p w:rsidR="00AB338C" w:rsidRDefault="00AB338C" w:rsidP="00AB338C">
      <w:pPr>
        <w:spacing w:before="120" w:line="300" w:lineRule="auto"/>
        <w:ind w:firstLine="709"/>
        <w:jc w:val="both"/>
        <w:rPr>
          <w:rFonts w:ascii="Calibri" w:hAnsi="Calibri" w:cs="Arial"/>
          <w:bCs/>
          <w:sz w:val="22"/>
          <w:szCs w:val="22"/>
        </w:rPr>
      </w:pPr>
    </w:p>
    <w:p w:rsidR="00AB338C" w:rsidRPr="00BE4C0D" w:rsidRDefault="00AB338C" w:rsidP="00AB338C">
      <w:pPr>
        <w:spacing w:before="120" w:line="300" w:lineRule="auto"/>
        <w:ind w:firstLine="709"/>
        <w:jc w:val="both"/>
        <w:rPr>
          <w:rFonts w:ascii="Calibri" w:hAnsi="Calibri" w:cs="Arial"/>
          <w:bCs/>
          <w:sz w:val="22"/>
          <w:szCs w:val="22"/>
        </w:rPr>
      </w:pPr>
    </w:p>
    <w:p w:rsidR="00AB338C" w:rsidRPr="00BE4C0D" w:rsidRDefault="00AB338C" w:rsidP="00AB338C">
      <w:pPr>
        <w:rPr>
          <w:rFonts w:ascii="Calibri" w:hAnsi="Calibri" w:cs="Arial"/>
          <w:b/>
          <w:sz w:val="24"/>
          <w:szCs w:val="24"/>
          <w:u w:val="single"/>
        </w:rPr>
      </w:pPr>
      <w:r w:rsidRPr="00BF2518">
        <w:rPr>
          <w:rFonts w:ascii="Calibri" w:hAnsi="Calibri" w:cs="Arial"/>
          <w:b/>
          <w:sz w:val="24"/>
          <w:szCs w:val="24"/>
          <w:u w:val="single"/>
        </w:rPr>
        <w:t>2.1 PRESUPUESTO DE GASTOS</w:t>
      </w:r>
    </w:p>
    <w:p w:rsidR="00AB338C" w:rsidRDefault="00AB338C" w:rsidP="00AB338C">
      <w:pPr>
        <w:spacing w:before="120" w:line="300" w:lineRule="auto"/>
        <w:ind w:firstLine="709"/>
        <w:jc w:val="both"/>
        <w:rPr>
          <w:rFonts w:ascii="Calibri" w:hAnsi="Calibri" w:cs="Arial"/>
          <w:bCs/>
          <w:sz w:val="22"/>
          <w:szCs w:val="22"/>
        </w:rPr>
      </w:pPr>
    </w:p>
    <w:p w:rsidR="00AB338C" w:rsidRPr="00CD19F5" w:rsidRDefault="00AB338C" w:rsidP="00AB338C">
      <w:pPr>
        <w:spacing w:before="120" w:line="300" w:lineRule="auto"/>
        <w:ind w:firstLine="709"/>
        <w:jc w:val="both"/>
        <w:rPr>
          <w:rFonts w:ascii="Calibri" w:hAnsi="Calibri" w:cs="Arial"/>
          <w:bCs/>
          <w:sz w:val="22"/>
          <w:szCs w:val="22"/>
        </w:rPr>
      </w:pPr>
      <w:r w:rsidRPr="00CD19F5">
        <w:rPr>
          <w:rFonts w:ascii="Calibri" w:hAnsi="Calibri" w:cs="Arial"/>
          <w:bCs/>
          <w:sz w:val="22"/>
          <w:szCs w:val="22"/>
        </w:rPr>
        <w:t xml:space="preserve">El </w:t>
      </w:r>
      <w:r w:rsidRPr="00BE4C0D">
        <w:rPr>
          <w:rFonts w:ascii="Calibri" w:hAnsi="Calibri" w:cs="Arial"/>
          <w:bCs/>
          <w:sz w:val="22"/>
          <w:szCs w:val="22"/>
        </w:rPr>
        <w:t xml:space="preserve">Presupuesto de Gastos </w:t>
      </w:r>
      <w:r w:rsidRPr="00CD19F5">
        <w:rPr>
          <w:rFonts w:ascii="Calibri" w:hAnsi="Calibri" w:cs="Arial"/>
          <w:bCs/>
          <w:sz w:val="22"/>
          <w:szCs w:val="22"/>
        </w:rPr>
        <w:t>del Consorcio para el ejercicio 20</w:t>
      </w:r>
      <w:r>
        <w:rPr>
          <w:rFonts w:ascii="Calibri" w:hAnsi="Calibri" w:cs="Arial"/>
          <w:bCs/>
          <w:sz w:val="22"/>
          <w:szCs w:val="22"/>
        </w:rPr>
        <w:t>20</w:t>
      </w:r>
      <w:r w:rsidRPr="00CD19F5">
        <w:rPr>
          <w:rFonts w:ascii="Calibri" w:hAnsi="Calibri" w:cs="Arial"/>
          <w:bCs/>
          <w:sz w:val="22"/>
          <w:szCs w:val="22"/>
        </w:rPr>
        <w:t xml:space="preserve"> es de </w:t>
      </w:r>
      <w:r>
        <w:rPr>
          <w:rFonts w:ascii="Calibri" w:hAnsi="Calibri" w:cs="Arial"/>
          <w:b/>
          <w:bCs/>
          <w:sz w:val="22"/>
          <w:szCs w:val="22"/>
        </w:rPr>
        <w:t>19.727.815,52</w:t>
      </w:r>
      <w:r w:rsidRPr="00CD19F5">
        <w:rPr>
          <w:rFonts w:ascii="Calibri" w:hAnsi="Calibri" w:cs="Arial"/>
          <w:b/>
          <w:bCs/>
          <w:sz w:val="22"/>
          <w:szCs w:val="22"/>
        </w:rPr>
        <w:t xml:space="preserve"> euros</w:t>
      </w:r>
      <w:r w:rsidRPr="00CD19F5">
        <w:rPr>
          <w:rFonts w:ascii="Calibri" w:hAnsi="Calibri" w:cs="Arial"/>
          <w:bCs/>
          <w:sz w:val="22"/>
          <w:szCs w:val="22"/>
        </w:rPr>
        <w:t>, distribuyéndose de la siguiente forma atendiendo a la clasificación económica de los créditos:</w:t>
      </w:r>
    </w:p>
    <w:p w:rsidR="00AB338C" w:rsidRPr="00B73E18" w:rsidRDefault="00AB338C" w:rsidP="00AB338C">
      <w:pPr>
        <w:spacing w:before="120" w:line="300" w:lineRule="auto"/>
        <w:ind w:firstLine="709"/>
        <w:jc w:val="both"/>
        <w:rPr>
          <w:rFonts w:ascii="Calibri" w:hAnsi="Calibri" w:cs="Arial"/>
          <w:bCs/>
          <w:color w:val="FF0000"/>
          <w:sz w:val="22"/>
          <w:szCs w:val="22"/>
        </w:rPr>
      </w:pPr>
    </w:p>
    <w:tbl>
      <w:tblPr>
        <w:tblW w:w="8647" w:type="dxa"/>
        <w:jc w:val="center"/>
        <w:tblBorders>
          <w:top w:val="single" w:sz="12" w:space="0" w:color="000000"/>
          <w:bottom w:val="single" w:sz="12" w:space="0" w:color="000000"/>
        </w:tblBorders>
        <w:tblLayout w:type="fixed"/>
        <w:tblLook w:val="01E0"/>
      </w:tblPr>
      <w:tblGrid>
        <w:gridCol w:w="993"/>
        <w:gridCol w:w="3340"/>
        <w:gridCol w:w="1582"/>
        <w:gridCol w:w="1582"/>
        <w:gridCol w:w="1150"/>
      </w:tblGrid>
      <w:tr w:rsidR="00AB338C" w:rsidRPr="00E44258" w:rsidTr="00AB338C">
        <w:trPr>
          <w:trHeight w:val="510"/>
          <w:jc w:val="center"/>
        </w:trPr>
        <w:tc>
          <w:tcPr>
            <w:tcW w:w="993" w:type="dxa"/>
            <w:tcBorders>
              <w:top w:val="single" w:sz="12" w:space="0" w:color="000000"/>
              <w:bottom w:val="single" w:sz="6" w:space="0" w:color="000000"/>
            </w:tcBorders>
            <w:shd w:val="clear" w:color="auto" w:fill="auto"/>
          </w:tcPr>
          <w:p w:rsidR="00AB338C" w:rsidRPr="00E44258" w:rsidRDefault="00AB338C" w:rsidP="00AB338C">
            <w:pPr>
              <w:spacing w:before="120" w:line="300" w:lineRule="auto"/>
              <w:jc w:val="both"/>
              <w:rPr>
                <w:rFonts w:ascii="Calibri" w:hAnsi="Calibri" w:cs="Arial"/>
                <w:b/>
                <w:bCs/>
                <w:sz w:val="22"/>
                <w:szCs w:val="22"/>
              </w:rPr>
            </w:pPr>
            <w:r w:rsidRPr="00E44258">
              <w:rPr>
                <w:rFonts w:ascii="Calibri" w:hAnsi="Calibri" w:cs="Arial"/>
                <w:b/>
                <w:bCs/>
                <w:sz w:val="22"/>
                <w:szCs w:val="22"/>
              </w:rPr>
              <w:t>Capítulo</w:t>
            </w:r>
          </w:p>
        </w:tc>
        <w:tc>
          <w:tcPr>
            <w:tcW w:w="3340" w:type="dxa"/>
            <w:tcBorders>
              <w:top w:val="single" w:sz="12" w:space="0" w:color="000000"/>
              <w:bottom w:val="single" w:sz="6" w:space="0" w:color="000000"/>
            </w:tcBorders>
            <w:shd w:val="clear" w:color="auto" w:fill="auto"/>
          </w:tcPr>
          <w:p w:rsidR="00AB338C" w:rsidRPr="00E44258" w:rsidRDefault="00AB338C" w:rsidP="00AB338C">
            <w:pPr>
              <w:spacing w:before="120" w:line="300" w:lineRule="auto"/>
              <w:jc w:val="both"/>
              <w:rPr>
                <w:rFonts w:ascii="Calibri" w:hAnsi="Calibri" w:cs="Arial"/>
                <w:b/>
                <w:sz w:val="22"/>
                <w:szCs w:val="22"/>
              </w:rPr>
            </w:pPr>
            <w:r w:rsidRPr="00E44258">
              <w:rPr>
                <w:rFonts w:ascii="Calibri" w:hAnsi="Calibri" w:cs="Arial"/>
                <w:b/>
                <w:sz w:val="22"/>
                <w:szCs w:val="22"/>
              </w:rPr>
              <w:t>Descripción</w:t>
            </w:r>
          </w:p>
        </w:tc>
        <w:tc>
          <w:tcPr>
            <w:tcW w:w="1582" w:type="dxa"/>
            <w:tcBorders>
              <w:top w:val="single" w:sz="12" w:space="0" w:color="000000"/>
              <w:bottom w:val="single" w:sz="6" w:space="0" w:color="000000"/>
            </w:tcBorders>
            <w:shd w:val="clear" w:color="auto" w:fill="auto"/>
          </w:tcPr>
          <w:p w:rsidR="00AB338C" w:rsidRPr="00E44258" w:rsidRDefault="00AB338C" w:rsidP="00AB338C">
            <w:pPr>
              <w:spacing w:before="120" w:line="300" w:lineRule="auto"/>
              <w:jc w:val="right"/>
              <w:rPr>
                <w:rFonts w:ascii="Calibri" w:hAnsi="Calibri" w:cs="Arial"/>
                <w:b/>
                <w:sz w:val="22"/>
                <w:szCs w:val="22"/>
              </w:rPr>
            </w:pPr>
            <w:r w:rsidRPr="00E44258">
              <w:rPr>
                <w:rFonts w:ascii="Calibri" w:hAnsi="Calibri" w:cs="Arial"/>
                <w:b/>
                <w:sz w:val="22"/>
                <w:szCs w:val="22"/>
              </w:rPr>
              <w:t>20</w:t>
            </w:r>
            <w:r>
              <w:rPr>
                <w:rFonts w:ascii="Calibri" w:hAnsi="Calibri" w:cs="Arial"/>
                <w:b/>
                <w:sz w:val="22"/>
                <w:szCs w:val="22"/>
              </w:rPr>
              <w:t>20</w:t>
            </w:r>
          </w:p>
        </w:tc>
        <w:tc>
          <w:tcPr>
            <w:tcW w:w="1582" w:type="dxa"/>
            <w:tcBorders>
              <w:top w:val="single" w:sz="12" w:space="0" w:color="000000"/>
              <w:bottom w:val="single" w:sz="6" w:space="0" w:color="000000"/>
            </w:tcBorders>
          </w:tcPr>
          <w:p w:rsidR="00AB338C" w:rsidRPr="00E44258" w:rsidRDefault="00AB338C" w:rsidP="00AB338C">
            <w:pPr>
              <w:spacing w:before="120" w:line="300" w:lineRule="auto"/>
              <w:jc w:val="right"/>
              <w:rPr>
                <w:rFonts w:ascii="Calibri" w:hAnsi="Calibri" w:cs="Arial"/>
                <w:b/>
                <w:sz w:val="22"/>
                <w:szCs w:val="22"/>
              </w:rPr>
            </w:pPr>
            <w:r w:rsidRPr="00E44258">
              <w:rPr>
                <w:rFonts w:ascii="Calibri" w:hAnsi="Calibri" w:cs="Arial"/>
                <w:b/>
                <w:sz w:val="22"/>
                <w:szCs w:val="22"/>
              </w:rPr>
              <w:t>201</w:t>
            </w:r>
            <w:r>
              <w:rPr>
                <w:rFonts w:ascii="Calibri" w:hAnsi="Calibri" w:cs="Arial"/>
                <w:b/>
                <w:sz w:val="22"/>
                <w:szCs w:val="22"/>
              </w:rPr>
              <w:t>9</w:t>
            </w:r>
          </w:p>
        </w:tc>
        <w:tc>
          <w:tcPr>
            <w:tcW w:w="1150" w:type="dxa"/>
            <w:tcBorders>
              <w:top w:val="single" w:sz="12" w:space="0" w:color="000000"/>
              <w:bottom w:val="single" w:sz="6" w:space="0" w:color="000000"/>
            </w:tcBorders>
            <w:shd w:val="clear" w:color="auto" w:fill="auto"/>
          </w:tcPr>
          <w:p w:rsidR="00AB338C" w:rsidRPr="00E44258" w:rsidRDefault="00AB338C" w:rsidP="00AB338C">
            <w:pPr>
              <w:spacing w:before="120" w:line="300" w:lineRule="auto"/>
              <w:jc w:val="right"/>
              <w:rPr>
                <w:rFonts w:ascii="Calibri" w:hAnsi="Calibri" w:cs="Arial"/>
                <w:b/>
                <w:sz w:val="22"/>
                <w:szCs w:val="22"/>
              </w:rPr>
            </w:pPr>
            <w:r w:rsidRPr="00E44258">
              <w:rPr>
                <w:rFonts w:ascii="Calibri" w:hAnsi="Calibri" w:cs="Arial"/>
                <w:b/>
                <w:sz w:val="22"/>
                <w:szCs w:val="22"/>
              </w:rPr>
              <w:t>Variación</w:t>
            </w:r>
          </w:p>
        </w:tc>
      </w:tr>
      <w:tr w:rsidR="00AB338C" w:rsidRPr="00E44258" w:rsidTr="00AB338C">
        <w:trPr>
          <w:trHeight w:val="510"/>
          <w:jc w:val="center"/>
        </w:trPr>
        <w:tc>
          <w:tcPr>
            <w:tcW w:w="993" w:type="dxa"/>
            <w:shd w:val="clear" w:color="auto" w:fill="DBE5F1" w:themeFill="accent1" w:themeFillTint="33"/>
          </w:tcPr>
          <w:p w:rsidR="00AB338C" w:rsidRPr="00E44258" w:rsidRDefault="00AB338C" w:rsidP="00AB338C">
            <w:pPr>
              <w:spacing w:before="120" w:line="300" w:lineRule="auto"/>
              <w:ind w:left="142"/>
              <w:jc w:val="both"/>
              <w:rPr>
                <w:rFonts w:ascii="Calibri" w:hAnsi="Calibri" w:cs="Arial"/>
                <w:b/>
                <w:bCs/>
                <w:sz w:val="22"/>
                <w:szCs w:val="22"/>
              </w:rPr>
            </w:pPr>
            <w:r w:rsidRPr="00E44258">
              <w:rPr>
                <w:rFonts w:ascii="Calibri" w:hAnsi="Calibri" w:cs="Arial"/>
                <w:b/>
                <w:bCs/>
                <w:sz w:val="22"/>
                <w:szCs w:val="22"/>
              </w:rPr>
              <w:t>I</w:t>
            </w:r>
          </w:p>
        </w:tc>
        <w:tc>
          <w:tcPr>
            <w:tcW w:w="3340" w:type="dxa"/>
          </w:tcPr>
          <w:p w:rsidR="00AB338C" w:rsidRPr="00E44258" w:rsidRDefault="00AB338C" w:rsidP="00AB338C">
            <w:pPr>
              <w:spacing w:before="120" w:line="300" w:lineRule="auto"/>
              <w:jc w:val="both"/>
              <w:rPr>
                <w:rFonts w:ascii="Calibri" w:hAnsi="Calibri" w:cs="Arial"/>
                <w:sz w:val="22"/>
                <w:szCs w:val="22"/>
              </w:rPr>
            </w:pPr>
            <w:r w:rsidRPr="00E44258">
              <w:rPr>
                <w:rFonts w:ascii="Calibri" w:hAnsi="Calibri" w:cs="Arial"/>
                <w:sz w:val="22"/>
                <w:szCs w:val="22"/>
              </w:rPr>
              <w:t>Gastos de personal</w:t>
            </w:r>
          </w:p>
        </w:tc>
        <w:tc>
          <w:tcPr>
            <w:tcW w:w="1582" w:type="dxa"/>
            <w:vAlign w:val="center"/>
          </w:tcPr>
          <w:p w:rsidR="00AB338C" w:rsidRDefault="00AB338C" w:rsidP="00AB338C">
            <w:pPr>
              <w:autoSpaceDE/>
              <w:autoSpaceDN/>
              <w:jc w:val="right"/>
              <w:rPr>
                <w:rFonts w:ascii="Calibri" w:hAnsi="Calibri"/>
                <w:color w:val="000000"/>
                <w:sz w:val="22"/>
                <w:szCs w:val="22"/>
              </w:rPr>
            </w:pPr>
            <w:r>
              <w:rPr>
                <w:rFonts w:ascii="Calibri" w:hAnsi="Calibri"/>
                <w:color w:val="000000"/>
                <w:sz w:val="22"/>
                <w:szCs w:val="22"/>
              </w:rPr>
              <w:t>15.994.654,60</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15.273.827,02</w:t>
            </w:r>
          </w:p>
        </w:tc>
        <w:tc>
          <w:tcPr>
            <w:tcW w:w="115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4,72%</w:t>
            </w:r>
          </w:p>
        </w:tc>
      </w:tr>
      <w:tr w:rsidR="00AB338C" w:rsidRPr="00E44258" w:rsidTr="00AB338C">
        <w:trPr>
          <w:trHeight w:val="510"/>
          <w:jc w:val="center"/>
        </w:trPr>
        <w:tc>
          <w:tcPr>
            <w:tcW w:w="993" w:type="dxa"/>
            <w:shd w:val="clear" w:color="auto" w:fill="DBE5F1" w:themeFill="accent1" w:themeFillTint="33"/>
          </w:tcPr>
          <w:p w:rsidR="00AB338C" w:rsidRPr="00E44258" w:rsidRDefault="00AB338C" w:rsidP="00AB338C">
            <w:pPr>
              <w:spacing w:before="120" w:line="300" w:lineRule="auto"/>
              <w:ind w:left="142"/>
              <w:jc w:val="both"/>
              <w:rPr>
                <w:rFonts w:ascii="Calibri" w:hAnsi="Calibri" w:cs="Arial"/>
                <w:b/>
                <w:bCs/>
                <w:sz w:val="22"/>
                <w:szCs w:val="22"/>
              </w:rPr>
            </w:pPr>
            <w:r w:rsidRPr="00E44258">
              <w:rPr>
                <w:rFonts w:ascii="Calibri" w:hAnsi="Calibri" w:cs="Arial"/>
                <w:b/>
                <w:bCs/>
                <w:sz w:val="22"/>
                <w:szCs w:val="22"/>
              </w:rPr>
              <w:t>II</w:t>
            </w:r>
          </w:p>
        </w:tc>
        <w:tc>
          <w:tcPr>
            <w:tcW w:w="3340" w:type="dxa"/>
          </w:tcPr>
          <w:p w:rsidR="00AB338C" w:rsidRPr="00E44258" w:rsidRDefault="00AB338C" w:rsidP="00AB338C">
            <w:pPr>
              <w:spacing w:before="120" w:line="300" w:lineRule="auto"/>
              <w:jc w:val="both"/>
              <w:rPr>
                <w:rFonts w:ascii="Calibri" w:hAnsi="Calibri" w:cs="Arial"/>
                <w:sz w:val="22"/>
                <w:szCs w:val="22"/>
              </w:rPr>
            </w:pPr>
            <w:r w:rsidRPr="00E44258">
              <w:rPr>
                <w:rFonts w:ascii="Calibri" w:hAnsi="Calibri" w:cs="Arial"/>
                <w:sz w:val="22"/>
                <w:szCs w:val="22"/>
              </w:rPr>
              <w:t>Gastos bienes corrientes, servicios</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1.609.265,00</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1.580.768,50</w:t>
            </w:r>
          </w:p>
        </w:tc>
        <w:tc>
          <w:tcPr>
            <w:tcW w:w="115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1,80%</w:t>
            </w:r>
          </w:p>
        </w:tc>
      </w:tr>
      <w:tr w:rsidR="00AB338C" w:rsidRPr="00E44258" w:rsidTr="00AB338C">
        <w:trPr>
          <w:trHeight w:val="510"/>
          <w:jc w:val="center"/>
        </w:trPr>
        <w:tc>
          <w:tcPr>
            <w:tcW w:w="993" w:type="dxa"/>
            <w:shd w:val="clear" w:color="auto" w:fill="DBE5F1" w:themeFill="accent1" w:themeFillTint="33"/>
          </w:tcPr>
          <w:p w:rsidR="00AB338C" w:rsidRPr="00E44258" w:rsidRDefault="00AB338C" w:rsidP="00AB338C">
            <w:pPr>
              <w:spacing w:before="120" w:line="300" w:lineRule="auto"/>
              <w:ind w:left="142"/>
              <w:jc w:val="both"/>
              <w:rPr>
                <w:rFonts w:ascii="Calibri" w:hAnsi="Calibri" w:cs="Arial"/>
                <w:b/>
                <w:bCs/>
                <w:sz w:val="22"/>
                <w:szCs w:val="22"/>
              </w:rPr>
            </w:pPr>
            <w:r w:rsidRPr="00E44258">
              <w:rPr>
                <w:rFonts w:ascii="Calibri" w:hAnsi="Calibri" w:cs="Arial"/>
                <w:b/>
                <w:bCs/>
                <w:sz w:val="22"/>
                <w:szCs w:val="22"/>
              </w:rPr>
              <w:t>III</w:t>
            </w:r>
          </w:p>
        </w:tc>
        <w:tc>
          <w:tcPr>
            <w:tcW w:w="3340" w:type="dxa"/>
          </w:tcPr>
          <w:p w:rsidR="00AB338C" w:rsidRPr="00E44258" w:rsidRDefault="00AB338C" w:rsidP="00AB338C">
            <w:pPr>
              <w:spacing w:before="120" w:line="300" w:lineRule="auto"/>
              <w:jc w:val="both"/>
              <w:rPr>
                <w:rFonts w:ascii="Calibri" w:hAnsi="Calibri" w:cs="Arial"/>
                <w:sz w:val="22"/>
                <w:szCs w:val="22"/>
              </w:rPr>
            </w:pPr>
            <w:r w:rsidRPr="00E44258">
              <w:rPr>
                <w:rFonts w:ascii="Calibri" w:hAnsi="Calibri" w:cs="Arial"/>
                <w:sz w:val="22"/>
                <w:szCs w:val="22"/>
              </w:rPr>
              <w:t>Gastos financieros</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800,00</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1.500,00</w:t>
            </w:r>
          </w:p>
        </w:tc>
        <w:tc>
          <w:tcPr>
            <w:tcW w:w="115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-46,67%</w:t>
            </w:r>
          </w:p>
        </w:tc>
      </w:tr>
      <w:tr w:rsidR="00AB338C" w:rsidRPr="00E44258" w:rsidTr="00AB338C">
        <w:trPr>
          <w:trHeight w:val="510"/>
          <w:jc w:val="center"/>
        </w:trPr>
        <w:tc>
          <w:tcPr>
            <w:tcW w:w="993" w:type="dxa"/>
            <w:shd w:val="clear" w:color="auto" w:fill="DBE5F1" w:themeFill="accent1" w:themeFillTint="33"/>
          </w:tcPr>
          <w:p w:rsidR="00AB338C" w:rsidRPr="00E44258" w:rsidRDefault="00AB338C" w:rsidP="00AB338C">
            <w:pPr>
              <w:spacing w:before="120" w:line="300" w:lineRule="auto"/>
              <w:ind w:left="142"/>
              <w:jc w:val="both"/>
              <w:rPr>
                <w:rFonts w:ascii="Calibri" w:hAnsi="Calibri" w:cs="Arial"/>
                <w:b/>
                <w:bCs/>
                <w:sz w:val="22"/>
                <w:szCs w:val="22"/>
              </w:rPr>
            </w:pPr>
            <w:r w:rsidRPr="00E44258">
              <w:rPr>
                <w:rFonts w:ascii="Calibri" w:hAnsi="Calibri" w:cs="Arial"/>
                <w:b/>
                <w:bCs/>
                <w:sz w:val="22"/>
                <w:szCs w:val="22"/>
              </w:rPr>
              <w:t>IV</w:t>
            </w:r>
          </w:p>
        </w:tc>
        <w:tc>
          <w:tcPr>
            <w:tcW w:w="3340" w:type="dxa"/>
          </w:tcPr>
          <w:p w:rsidR="00AB338C" w:rsidRPr="00E44258" w:rsidRDefault="00AB338C" w:rsidP="00AB338C">
            <w:pPr>
              <w:spacing w:before="120" w:line="300" w:lineRule="auto"/>
              <w:jc w:val="both"/>
              <w:rPr>
                <w:rFonts w:ascii="Calibri" w:hAnsi="Calibri" w:cs="Arial"/>
                <w:sz w:val="22"/>
                <w:szCs w:val="22"/>
              </w:rPr>
            </w:pPr>
            <w:r w:rsidRPr="00E44258">
              <w:rPr>
                <w:rFonts w:ascii="Calibri" w:hAnsi="Calibri" w:cs="Arial"/>
                <w:sz w:val="22"/>
                <w:szCs w:val="22"/>
              </w:rPr>
              <w:t>Transferencias corrientes</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349.067,00</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242.000,00</w:t>
            </w:r>
          </w:p>
        </w:tc>
        <w:tc>
          <w:tcPr>
            <w:tcW w:w="115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44,24%</w:t>
            </w:r>
          </w:p>
        </w:tc>
      </w:tr>
      <w:tr w:rsidR="00AB338C" w:rsidRPr="00E44258" w:rsidTr="00AB338C">
        <w:trPr>
          <w:trHeight w:val="510"/>
          <w:jc w:val="center"/>
        </w:trPr>
        <w:tc>
          <w:tcPr>
            <w:tcW w:w="993" w:type="dxa"/>
            <w:shd w:val="clear" w:color="auto" w:fill="DBE5F1" w:themeFill="accent1" w:themeFillTint="33"/>
          </w:tcPr>
          <w:p w:rsidR="00AB338C" w:rsidRPr="00E44258" w:rsidRDefault="00AB338C" w:rsidP="00AB338C">
            <w:pPr>
              <w:spacing w:before="120" w:line="300" w:lineRule="auto"/>
              <w:ind w:left="142"/>
              <w:jc w:val="both"/>
              <w:rPr>
                <w:rFonts w:ascii="Calibri" w:hAnsi="Calibri" w:cs="Arial"/>
                <w:b/>
                <w:bCs/>
                <w:sz w:val="22"/>
                <w:szCs w:val="22"/>
              </w:rPr>
            </w:pPr>
            <w:r w:rsidRPr="00E44258">
              <w:rPr>
                <w:rFonts w:ascii="Calibri" w:hAnsi="Calibri" w:cs="Arial"/>
                <w:b/>
                <w:bCs/>
                <w:sz w:val="22"/>
                <w:szCs w:val="22"/>
              </w:rPr>
              <w:t>VI</w:t>
            </w:r>
          </w:p>
        </w:tc>
        <w:tc>
          <w:tcPr>
            <w:tcW w:w="3340" w:type="dxa"/>
          </w:tcPr>
          <w:p w:rsidR="00AB338C" w:rsidRPr="00E44258" w:rsidRDefault="00AB338C" w:rsidP="00AB338C">
            <w:pPr>
              <w:spacing w:before="120" w:line="300" w:lineRule="auto"/>
              <w:jc w:val="both"/>
              <w:rPr>
                <w:rFonts w:ascii="Calibri" w:hAnsi="Calibri" w:cs="Arial"/>
                <w:sz w:val="22"/>
                <w:szCs w:val="22"/>
              </w:rPr>
            </w:pPr>
            <w:r w:rsidRPr="00E44258">
              <w:rPr>
                <w:rFonts w:ascii="Calibri" w:hAnsi="Calibri" w:cs="Arial"/>
                <w:sz w:val="22"/>
                <w:szCs w:val="22"/>
              </w:rPr>
              <w:t>Inversiones Reales</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1.651.095,92</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1.928.284,42</w:t>
            </w:r>
          </w:p>
        </w:tc>
        <w:tc>
          <w:tcPr>
            <w:tcW w:w="115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-14,37%</w:t>
            </w:r>
          </w:p>
        </w:tc>
      </w:tr>
      <w:tr w:rsidR="00AB338C" w:rsidRPr="00E44258" w:rsidTr="00AB338C">
        <w:trPr>
          <w:trHeight w:val="510"/>
          <w:jc w:val="center"/>
        </w:trPr>
        <w:tc>
          <w:tcPr>
            <w:tcW w:w="993" w:type="dxa"/>
            <w:shd w:val="clear" w:color="auto" w:fill="DBE5F1" w:themeFill="accent1" w:themeFillTint="33"/>
          </w:tcPr>
          <w:p w:rsidR="00AB338C" w:rsidRPr="00E44258" w:rsidRDefault="00AB338C" w:rsidP="00AB338C">
            <w:pPr>
              <w:spacing w:before="120" w:line="300" w:lineRule="auto"/>
              <w:ind w:left="142"/>
              <w:jc w:val="both"/>
              <w:rPr>
                <w:rFonts w:ascii="Calibri" w:hAnsi="Calibri" w:cs="Arial"/>
                <w:b/>
                <w:bCs/>
                <w:sz w:val="22"/>
                <w:szCs w:val="22"/>
              </w:rPr>
            </w:pPr>
            <w:r w:rsidRPr="00E44258">
              <w:rPr>
                <w:rFonts w:ascii="Calibri" w:hAnsi="Calibri" w:cs="Arial"/>
                <w:b/>
                <w:bCs/>
                <w:sz w:val="22"/>
                <w:szCs w:val="22"/>
              </w:rPr>
              <w:t>VII</w:t>
            </w:r>
          </w:p>
        </w:tc>
        <w:tc>
          <w:tcPr>
            <w:tcW w:w="3340" w:type="dxa"/>
          </w:tcPr>
          <w:p w:rsidR="00AB338C" w:rsidRPr="00E44258" w:rsidRDefault="00AB338C" w:rsidP="00AB338C">
            <w:pPr>
              <w:spacing w:before="120" w:line="300" w:lineRule="auto"/>
              <w:jc w:val="both"/>
              <w:rPr>
                <w:rFonts w:ascii="Calibri" w:hAnsi="Calibri" w:cs="Arial"/>
                <w:sz w:val="22"/>
                <w:szCs w:val="22"/>
              </w:rPr>
            </w:pPr>
            <w:r w:rsidRPr="00E44258">
              <w:rPr>
                <w:rFonts w:ascii="Calibri" w:hAnsi="Calibri" w:cs="Arial"/>
                <w:sz w:val="22"/>
                <w:szCs w:val="22"/>
              </w:rPr>
              <w:t>Transferencias de capital</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112.933,00</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120.000,00</w:t>
            </w:r>
          </w:p>
        </w:tc>
        <w:tc>
          <w:tcPr>
            <w:tcW w:w="115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-5,89%</w:t>
            </w:r>
          </w:p>
        </w:tc>
      </w:tr>
      <w:tr w:rsidR="00AB338C" w:rsidRPr="00E44258" w:rsidTr="00AB338C">
        <w:trPr>
          <w:trHeight w:val="510"/>
          <w:jc w:val="center"/>
        </w:trPr>
        <w:tc>
          <w:tcPr>
            <w:tcW w:w="993" w:type="dxa"/>
            <w:shd w:val="clear" w:color="auto" w:fill="DBE5F1" w:themeFill="accent1" w:themeFillTint="33"/>
          </w:tcPr>
          <w:p w:rsidR="00AB338C" w:rsidRPr="00E44258" w:rsidRDefault="00AB338C" w:rsidP="00AB338C">
            <w:pPr>
              <w:spacing w:before="120" w:line="300" w:lineRule="auto"/>
              <w:ind w:left="142"/>
              <w:jc w:val="both"/>
              <w:rPr>
                <w:rFonts w:ascii="Calibri" w:hAnsi="Calibri" w:cs="Arial"/>
                <w:b/>
                <w:bCs/>
                <w:sz w:val="22"/>
                <w:szCs w:val="22"/>
              </w:rPr>
            </w:pPr>
            <w:r w:rsidRPr="00E44258">
              <w:rPr>
                <w:rFonts w:ascii="Calibri" w:hAnsi="Calibri" w:cs="Arial"/>
                <w:b/>
                <w:bCs/>
                <w:sz w:val="22"/>
                <w:szCs w:val="22"/>
              </w:rPr>
              <w:t>VIII</w:t>
            </w:r>
          </w:p>
        </w:tc>
        <w:tc>
          <w:tcPr>
            <w:tcW w:w="3340" w:type="dxa"/>
          </w:tcPr>
          <w:p w:rsidR="00AB338C" w:rsidRPr="00E44258" w:rsidRDefault="00AB338C" w:rsidP="00AB338C">
            <w:pPr>
              <w:spacing w:before="120" w:line="300" w:lineRule="auto"/>
              <w:jc w:val="both"/>
              <w:rPr>
                <w:rFonts w:ascii="Calibri" w:hAnsi="Calibri" w:cs="Arial"/>
                <w:sz w:val="22"/>
                <w:szCs w:val="22"/>
              </w:rPr>
            </w:pPr>
            <w:r w:rsidRPr="00E44258">
              <w:rPr>
                <w:rFonts w:ascii="Calibri" w:hAnsi="Calibri" w:cs="Arial"/>
                <w:sz w:val="22"/>
                <w:szCs w:val="22"/>
              </w:rPr>
              <w:t>Activos financieros</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110.000,00</w:t>
            </w:r>
          </w:p>
        </w:tc>
        <w:tc>
          <w:tcPr>
            <w:tcW w:w="1582"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110.000,00</w:t>
            </w:r>
          </w:p>
        </w:tc>
        <w:tc>
          <w:tcPr>
            <w:tcW w:w="115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0,00%</w:t>
            </w:r>
          </w:p>
        </w:tc>
      </w:tr>
      <w:tr w:rsidR="00AB338C" w:rsidRPr="00E44258" w:rsidTr="00AB338C">
        <w:trPr>
          <w:trHeight w:val="510"/>
          <w:jc w:val="center"/>
        </w:trPr>
        <w:tc>
          <w:tcPr>
            <w:tcW w:w="993" w:type="dxa"/>
            <w:tcBorders>
              <w:top w:val="single" w:sz="6" w:space="0" w:color="000000"/>
              <w:bottom w:val="single" w:sz="12" w:space="0" w:color="000000"/>
            </w:tcBorders>
            <w:shd w:val="clear" w:color="auto" w:fill="DBE5F1" w:themeFill="accent1" w:themeFillTint="33"/>
          </w:tcPr>
          <w:p w:rsidR="00AB338C" w:rsidRPr="00E44258" w:rsidRDefault="00AB338C" w:rsidP="00AB338C">
            <w:pPr>
              <w:spacing w:before="120" w:line="300" w:lineRule="auto"/>
              <w:jc w:val="both"/>
              <w:rPr>
                <w:rFonts w:ascii="Calibri" w:hAnsi="Calibri" w:cs="Arial"/>
                <w:b/>
                <w:bCs/>
                <w:sz w:val="22"/>
                <w:szCs w:val="22"/>
              </w:rPr>
            </w:pPr>
          </w:p>
        </w:tc>
        <w:tc>
          <w:tcPr>
            <w:tcW w:w="3340" w:type="dxa"/>
            <w:tcBorders>
              <w:top w:val="single" w:sz="6" w:space="0" w:color="000000"/>
              <w:bottom w:val="single" w:sz="12" w:space="0" w:color="000000"/>
            </w:tcBorders>
          </w:tcPr>
          <w:p w:rsidR="00AB338C" w:rsidRPr="00E44258" w:rsidRDefault="00AB338C" w:rsidP="00AB338C">
            <w:pPr>
              <w:spacing w:before="120" w:line="300" w:lineRule="auto"/>
              <w:jc w:val="both"/>
              <w:rPr>
                <w:rFonts w:ascii="Calibri" w:hAnsi="Calibri" w:cs="Arial"/>
                <w:b/>
                <w:sz w:val="22"/>
                <w:szCs w:val="22"/>
              </w:rPr>
            </w:pPr>
            <w:r w:rsidRPr="00E44258">
              <w:rPr>
                <w:rFonts w:ascii="Calibri" w:hAnsi="Calibri" w:cs="Arial"/>
                <w:b/>
                <w:sz w:val="22"/>
                <w:szCs w:val="22"/>
              </w:rPr>
              <w:t>TOTAL ESTADO GASTOS</w:t>
            </w:r>
          </w:p>
        </w:tc>
        <w:tc>
          <w:tcPr>
            <w:tcW w:w="1582" w:type="dxa"/>
            <w:tcBorders>
              <w:top w:val="single" w:sz="6" w:space="0" w:color="000000"/>
              <w:bottom w:val="single" w:sz="12" w:space="0" w:color="000000"/>
            </w:tcBorders>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19.827.815,52</w:t>
            </w:r>
          </w:p>
        </w:tc>
        <w:tc>
          <w:tcPr>
            <w:tcW w:w="1582" w:type="dxa"/>
            <w:tcBorders>
              <w:top w:val="single" w:sz="6" w:space="0" w:color="000000"/>
              <w:bottom w:val="single" w:sz="12" w:space="0" w:color="000000"/>
            </w:tcBorders>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19.256.379,94</w:t>
            </w:r>
          </w:p>
        </w:tc>
        <w:tc>
          <w:tcPr>
            <w:tcW w:w="1150" w:type="dxa"/>
            <w:tcBorders>
              <w:top w:val="single" w:sz="6" w:space="0" w:color="000000"/>
              <w:bottom w:val="single" w:sz="12" w:space="0" w:color="000000"/>
            </w:tcBorders>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2,97%</w:t>
            </w:r>
          </w:p>
        </w:tc>
      </w:tr>
    </w:tbl>
    <w:p w:rsidR="00AB338C" w:rsidRPr="00B73E18" w:rsidRDefault="00AB338C" w:rsidP="00AB338C">
      <w:pPr>
        <w:spacing w:before="120" w:line="300" w:lineRule="auto"/>
        <w:ind w:firstLine="709"/>
        <w:jc w:val="both"/>
        <w:rPr>
          <w:rFonts w:ascii="Calibri" w:hAnsi="Calibri" w:cs="Arial"/>
          <w:bCs/>
          <w:color w:val="FF0000"/>
          <w:sz w:val="22"/>
          <w:szCs w:val="22"/>
        </w:rPr>
      </w:pPr>
    </w:p>
    <w:p w:rsidR="00AB338C" w:rsidRPr="001B2D1E" w:rsidRDefault="00AB338C" w:rsidP="00AB338C">
      <w:pPr>
        <w:spacing w:before="120" w:line="300" w:lineRule="auto"/>
        <w:ind w:firstLine="709"/>
        <w:jc w:val="both"/>
        <w:rPr>
          <w:rFonts w:ascii="Calibri" w:hAnsi="Calibri" w:cs="Arial"/>
          <w:bCs/>
          <w:sz w:val="22"/>
          <w:szCs w:val="22"/>
        </w:rPr>
      </w:pPr>
      <w:r>
        <w:rPr>
          <w:rFonts w:ascii="Calibri" w:hAnsi="Calibri" w:cs="Arial"/>
          <w:bCs/>
          <w:sz w:val="22"/>
          <w:szCs w:val="22"/>
        </w:rPr>
        <w:t>El Presupuesto de gastos para el ejercicio 2020incrementa un</w:t>
      </w:r>
      <w:r w:rsidR="005B1AC5">
        <w:rPr>
          <w:rFonts w:ascii="Calibri" w:hAnsi="Calibri" w:cs="Arial"/>
          <w:bCs/>
          <w:sz w:val="22"/>
          <w:szCs w:val="22"/>
        </w:rPr>
        <w:t xml:space="preserve"> </w:t>
      </w:r>
      <w:r>
        <w:rPr>
          <w:rFonts w:ascii="Calibri" w:hAnsi="Calibri" w:cs="Arial"/>
          <w:bCs/>
          <w:sz w:val="22"/>
          <w:szCs w:val="22"/>
        </w:rPr>
        <w:t>2,97% con respecto al ejercicio anterior, lo que se traduce en 571.435,58 euros.</w:t>
      </w:r>
    </w:p>
    <w:p w:rsidR="00AB338C" w:rsidRPr="001B2D1E" w:rsidRDefault="00AB338C" w:rsidP="00AB338C">
      <w:pPr>
        <w:spacing w:before="120" w:line="300" w:lineRule="auto"/>
        <w:ind w:firstLine="709"/>
        <w:jc w:val="both"/>
        <w:rPr>
          <w:rFonts w:ascii="Calibri" w:hAnsi="Calibri" w:cs="Arial"/>
          <w:bCs/>
          <w:sz w:val="22"/>
          <w:szCs w:val="22"/>
        </w:rPr>
      </w:pPr>
    </w:p>
    <w:p w:rsidR="00AB338C" w:rsidRPr="001B2D1E" w:rsidRDefault="00AB338C" w:rsidP="00AB338C">
      <w:pPr>
        <w:pStyle w:val="Prrafodelista"/>
        <w:numPr>
          <w:ilvl w:val="0"/>
          <w:numId w:val="1"/>
        </w:numPr>
        <w:spacing w:before="120" w:line="300" w:lineRule="auto"/>
        <w:jc w:val="both"/>
        <w:rPr>
          <w:rFonts w:ascii="Calibri" w:hAnsi="Calibri"/>
          <w:b/>
          <w:bCs/>
          <w:i/>
          <w:sz w:val="24"/>
          <w:szCs w:val="24"/>
        </w:rPr>
      </w:pPr>
      <w:r w:rsidRPr="001B2D1E">
        <w:rPr>
          <w:rFonts w:ascii="Calibri" w:hAnsi="Calibri" w:cs="Arial"/>
          <w:b/>
          <w:bCs/>
          <w:i/>
          <w:sz w:val="22"/>
          <w:szCs w:val="22"/>
        </w:rPr>
        <w:t>Capítulo I</w:t>
      </w:r>
      <w:r w:rsidRPr="001B2D1E">
        <w:rPr>
          <w:rFonts w:ascii="Calibri" w:hAnsi="Calibri" w:cs="Arial"/>
          <w:bCs/>
          <w:i/>
          <w:sz w:val="22"/>
          <w:szCs w:val="22"/>
        </w:rPr>
        <w:t xml:space="preserve">, </w:t>
      </w:r>
      <w:r w:rsidRPr="001B2D1E">
        <w:rPr>
          <w:rFonts w:ascii="Calibri" w:hAnsi="Calibri" w:cs="Arial"/>
          <w:b/>
          <w:bCs/>
          <w:i/>
          <w:sz w:val="22"/>
          <w:szCs w:val="22"/>
        </w:rPr>
        <w:t>Gastos de personal.</w:t>
      </w:r>
    </w:p>
    <w:p w:rsidR="00AB338C" w:rsidRPr="001B2D1E" w:rsidRDefault="00AB338C" w:rsidP="00AB338C">
      <w:pPr>
        <w:spacing w:before="120" w:line="300" w:lineRule="auto"/>
        <w:ind w:firstLine="709"/>
        <w:jc w:val="both"/>
        <w:rPr>
          <w:rFonts w:ascii="Calibri" w:hAnsi="Calibri" w:cs="Arial"/>
          <w:bCs/>
          <w:sz w:val="22"/>
          <w:szCs w:val="22"/>
        </w:rPr>
      </w:pPr>
      <w:r w:rsidRPr="001B2D1E">
        <w:rPr>
          <w:rFonts w:ascii="Calibri" w:hAnsi="Calibri" w:cs="Arial"/>
          <w:bCs/>
          <w:sz w:val="22"/>
          <w:szCs w:val="22"/>
        </w:rPr>
        <w:t>El capítulo I del Consorcio de Bomberos</w:t>
      </w:r>
      <w:r>
        <w:rPr>
          <w:rFonts w:ascii="Calibri" w:hAnsi="Calibri" w:cs="Arial"/>
          <w:bCs/>
          <w:sz w:val="22"/>
          <w:szCs w:val="22"/>
        </w:rPr>
        <w:t xml:space="preserve"> se cifra en 15.994.654,60 euros, lo que </w:t>
      </w:r>
      <w:r w:rsidRPr="001B2D1E">
        <w:rPr>
          <w:rFonts w:ascii="Calibri" w:hAnsi="Calibri" w:cs="Arial"/>
          <w:bCs/>
          <w:sz w:val="22"/>
          <w:szCs w:val="22"/>
        </w:rPr>
        <w:t xml:space="preserve">supone el </w:t>
      </w:r>
      <w:r>
        <w:rPr>
          <w:rFonts w:ascii="Calibri" w:hAnsi="Calibri" w:cs="Arial"/>
          <w:b/>
          <w:bCs/>
          <w:sz w:val="22"/>
          <w:szCs w:val="22"/>
        </w:rPr>
        <w:t>80,67</w:t>
      </w:r>
      <w:r w:rsidRPr="001B2D1E">
        <w:rPr>
          <w:rFonts w:ascii="Calibri" w:hAnsi="Calibri" w:cs="Arial"/>
          <w:b/>
          <w:bCs/>
          <w:sz w:val="22"/>
          <w:szCs w:val="22"/>
        </w:rPr>
        <w:t>%</w:t>
      </w:r>
      <w:r w:rsidRPr="001B2D1E">
        <w:rPr>
          <w:rFonts w:ascii="Calibri" w:hAnsi="Calibri" w:cs="Arial"/>
          <w:bCs/>
          <w:sz w:val="22"/>
          <w:szCs w:val="22"/>
        </w:rPr>
        <w:t xml:space="preserve"> del </w:t>
      </w:r>
      <w:r>
        <w:rPr>
          <w:rFonts w:ascii="Calibri" w:hAnsi="Calibri" w:cs="Arial"/>
          <w:bCs/>
          <w:sz w:val="22"/>
          <w:szCs w:val="22"/>
        </w:rPr>
        <w:t xml:space="preserve">total del </w:t>
      </w:r>
      <w:r w:rsidRPr="001B2D1E">
        <w:rPr>
          <w:rFonts w:ascii="Calibri" w:hAnsi="Calibri" w:cs="Arial"/>
          <w:bCs/>
          <w:sz w:val="22"/>
          <w:szCs w:val="22"/>
        </w:rPr>
        <w:t>presupuesto</w:t>
      </w:r>
      <w:r>
        <w:rPr>
          <w:rFonts w:ascii="Calibri" w:hAnsi="Calibri" w:cs="Arial"/>
          <w:bCs/>
          <w:sz w:val="22"/>
          <w:szCs w:val="22"/>
        </w:rPr>
        <w:t xml:space="preserve">. El detalle de este capítulo a nivel de artículo es el siguiente: </w:t>
      </w:r>
    </w:p>
    <w:p w:rsidR="00AB338C" w:rsidRPr="00B73E18" w:rsidRDefault="00AB338C" w:rsidP="00AB338C">
      <w:pPr>
        <w:spacing w:line="300" w:lineRule="auto"/>
        <w:ind w:firstLine="709"/>
        <w:jc w:val="both"/>
        <w:rPr>
          <w:rFonts w:ascii="Calibri" w:hAnsi="Calibri" w:cs="Arial"/>
          <w:bCs/>
          <w:color w:val="FF0000"/>
          <w:sz w:val="22"/>
          <w:szCs w:val="22"/>
        </w:rPr>
      </w:pPr>
    </w:p>
    <w:tbl>
      <w:tblPr>
        <w:tblStyle w:val="Tablaconcuadrcula"/>
        <w:tblW w:w="8614" w:type="dxa"/>
        <w:tblLook w:val="04A0"/>
      </w:tblPr>
      <w:tblGrid>
        <w:gridCol w:w="4219"/>
        <w:gridCol w:w="1560"/>
        <w:gridCol w:w="1729"/>
        <w:gridCol w:w="1106"/>
      </w:tblGrid>
      <w:tr w:rsidR="00AB338C" w:rsidRPr="001B2D1E" w:rsidTr="00AB338C">
        <w:tc>
          <w:tcPr>
            <w:tcW w:w="4219" w:type="dxa"/>
          </w:tcPr>
          <w:p w:rsidR="00AB338C" w:rsidRPr="001B2D1E" w:rsidRDefault="00AB338C" w:rsidP="00AB338C">
            <w:pPr>
              <w:spacing w:line="300" w:lineRule="auto"/>
              <w:jc w:val="center"/>
              <w:rPr>
                <w:rFonts w:ascii="Calibri" w:hAnsi="Calibri" w:cs="Arial"/>
                <w:b/>
                <w:bCs/>
                <w:sz w:val="22"/>
                <w:szCs w:val="22"/>
              </w:rPr>
            </w:pPr>
            <w:r w:rsidRPr="001B2D1E">
              <w:rPr>
                <w:rFonts w:ascii="Calibri" w:hAnsi="Calibri" w:cs="Arial"/>
                <w:b/>
                <w:bCs/>
                <w:sz w:val="22"/>
                <w:szCs w:val="22"/>
              </w:rPr>
              <w:t>Clasificación económica por artículos</w:t>
            </w:r>
          </w:p>
        </w:tc>
        <w:tc>
          <w:tcPr>
            <w:tcW w:w="1560" w:type="dxa"/>
            <w:vAlign w:val="center"/>
          </w:tcPr>
          <w:p w:rsidR="00AB338C" w:rsidRDefault="00AB338C" w:rsidP="00AB338C">
            <w:pPr>
              <w:autoSpaceDE/>
              <w:autoSpaceDN/>
              <w:jc w:val="right"/>
              <w:rPr>
                <w:rFonts w:ascii="Calibri" w:hAnsi="Calibri"/>
                <w:b/>
                <w:bCs/>
                <w:color w:val="000000"/>
                <w:sz w:val="22"/>
                <w:szCs w:val="22"/>
              </w:rPr>
            </w:pPr>
            <w:r>
              <w:rPr>
                <w:rFonts w:ascii="Calibri" w:hAnsi="Calibri"/>
                <w:b/>
                <w:bCs/>
                <w:color w:val="000000"/>
                <w:sz w:val="22"/>
                <w:szCs w:val="22"/>
              </w:rPr>
              <w:t>2020</w:t>
            </w:r>
          </w:p>
        </w:tc>
        <w:tc>
          <w:tcPr>
            <w:tcW w:w="1729" w:type="dxa"/>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2019</w:t>
            </w:r>
          </w:p>
        </w:tc>
        <w:tc>
          <w:tcPr>
            <w:tcW w:w="1106" w:type="dxa"/>
            <w:vAlign w:val="center"/>
          </w:tcPr>
          <w:p w:rsidR="00AB338C" w:rsidRDefault="00AB338C" w:rsidP="00AB338C">
            <w:pPr>
              <w:jc w:val="right"/>
              <w:rPr>
                <w:rFonts w:ascii="Calibri" w:hAnsi="Calibri"/>
                <w:b/>
                <w:bCs/>
                <w:color w:val="000000"/>
                <w:sz w:val="22"/>
                <w:szCs w:val="22"/>
              </w:rPr>
            </w:pPr>
            <w:r>
              <w:rPr>
                <w:rFonts w:ascii="Calibri" w:hAnsi="Calibri" w:cs="Arial"/>
                <w:b/>
                <w:bCs/>
                <w:color w:val="000000"/>
                <w:sz w:val="22"/>
                <w:szCs w:val="22"/>
              </w:rPr>
              <w:t>%</w:t>
            </w:r>
          </w:p>
        </w:tc>
      </w:tr>
      <w:tr w:rsidR="00AB338C" w:rsidRPr="001B2D1E" w:rsidTr="00AB338C">
        <w:tc>
          <w:tcPr>
            <w:tcW w:w="4219" w:type="dxa"/>
            <w:vAlign w:val="center"/>
          </w:tcPr>
          <w:p w:rsidR="00AB338C" w:rsidRPr="001B2D1E" w:rsidRDefault="00AB338C" w:rsidP="00AB338C">
            <w:pPr>
              <w:spacing w:line="300" w:lineRule="auto"/>
              <w:rPr>
                <w:rFonts w:ascii="Calibri" w:hAnsi="Calibri" w:cs="Arial"/>
                <w:bCs/>
                <w:sz w:val="22"/>
                <w:szCs w:val="22"/>
              </w:rPr>
            </w:pPr>
            <w:r w:rsidRPr="001B2D1E">
              <w:rPr>
                <w:rFonts w:ascii="Calibri" w:hAnsi="Calibri" w:cs="Arial"/>
                <w:bCs/>
                <w:sz w:val="22"/>
                <w:szCs w:val="22"/>
              </w:rPr>
              <w:t>10 Órganos de Gobierno y personal directivo</w:t>
            </w:r>
          </w:p>
        </w:tc>
        <w:tc>
          <w:tcPr>
            <w:tcW w:w="156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70.000,00</w:t>
            </w:r>
          </w:p>
        </w:tc>
        <w:tc>
          <w:tcPr>
            <w:tcW w:w="1729"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70.000,00</w:t>
            </w:r>
          </w:p>
        </w:tc>
        <w:tc>
          <w:tcPr>
            <w:tcW w:w="1106"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0,00%</w:t>
            </w:r>
          </w:p>
        </w:tc>
      </w:tr>
      <w:tr w:rsidR="00AB338C" w:rsidRPr="001B2D1E" w:rsidTr="00AB338C">
        <w:tc>
          <w:tcPr>
            <w:tcW w:w="4219" w:type="dxa"/>
            <w:vAlign w:val="center"/>
          </w:tcPr>
          <w:p w:rsidR="00AB338C" w:rsidRPr="001B2D1E" w:rsidRDefault="00AB338C" w:rsidP="00AB338C">
            <w:pPr>
              <w:spacing w:line="300" w:lineRule="auto"/>
              <w:rPr>
                <w:rFonts w:ascii="Calibri" w:hAnsi="Calibri" w:cs="Arial"/>
                <w:bCs/>
                <w:sz w:val="22"/>
                <w:szCs w:val="22"/>
              </w:rPr>
            </w:pPr>
            <w:r w:rsidRPr="001B2D1E">
              <w:rPr>
                <w:rFonts w:ascii="Calibri" w:hAnsi="Calibri" w:cs="Arial"/>
                <w:bCs/>
                <w:sz w:val="22"/>
                <w:szCs w:val="22"/>
              </w:rPr>
              <w:t>12 Retribuciones Básicas funcionarios</w:t>
            </w:r>
          </w:p>
        </w:tc>
        <w:tc>
          <w:tcPr>
            <w:tcW w:w="156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9.382.657,14</w:t>
            </w:r>
          </w:p>
        </w:tc>
        <w:tc>
          <w:tcPr>
            <w:tcW w:w="1729"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9.131.982,19</w:t>
            </w:r>
          </w:p>
        </w:tc>
        <w:tc>
          <w:tcPr>
            <w:tcW w:w="1106"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2,75%</w:t>
            </w:r>
          </w:p>
        </w:tc>
      </w:tr>
      <w:tr w:rsidR="00AB338C" w:rsidRPr="001B2D1E" w:rsidTr="00AB338C">
        <w:tc>
          <w:tcPr>
            <w:tcW w:w="4219" w:type="dxa"/>
            <w:vAlign w:val="center"/>
          </w:tcPr>
          <w:p w:rsidR="00AB338C" w:rsidRPr="001B2D1E" w:rsidRDefault="00AB338C" w:rsidP="00AB338C">
            <w:pPr>
              <w:spacing w:line="300" w:lineRule="auto"/>
              <w:rPr>
                <w:rFonts w:ascii="Calibri" w:hAnsi="Calibri" w:cs="Arial"/>
                <w:bCs/>
                <w:sz w:val="22"/>
                <w:szCs w:val="22"/>
              </w:rPr>
            </w:pPr>
            <w:r w:rsidRPr="001B2D1E">
              <w:rPr>
                <w:rFonts w:ascii="Calibri" w:hAnsi="Calibri" w:cs="Arial"/>
                <w:bCs/>
                <w:sz w:val="22"/>
                <w:szCs w:val="22"/>
              </w:rPr>
              <w:t>13 Personal Laboral</w:t>
            </w:r>
          </w:p>
        </w:tc>
        <w:tc>
          <w:tcPr>
            <w:tcW w:w="156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664.463,45</w:t>
            </w:r>
          </w:p>
        </w:tc>
        <w:tc>
          <w:tcPr>
            <w:tcW w:w="1729"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647.431,95</w:t>
            </w:r>
          </w:p>
        </w:tc>
        <w:tc>
          <w:tcPr>
            <w:tcW w:w="1106"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2,63%</w:t>
            </w:r>
          </w:p>
        </w:tc>
      </w:tr>
      <w:tr w:rsidR="00AB338C" w:rsidRPr="001B2D1E" w:rsidTr="00AB338C">
        <w:tc>
          <w:tcPr>
            <w:tcW w:w="4219" w:type="dxa"/>
            <w:vAlign w:val="center"/>
          </w:tcPr>
          <w:p w:rsidR="00AB338C" w:rsidRPr="001B2D1E" w:rsidRDefault="00AB338C" w:rsidP="00AB338C">
            <w:pPr>
              <w:spacing w:line="300" w:lineRule="auto"/>
              <w:rPr>
                <w:rFonts w:ascii="Calibri" w:hAnsi="Calibri" w:cs="Arial"/>
                <w:bCs/>
                <w:sz w:val="22"/>
                <w:szCs w:val="22"/>
              </w:rPr>
            </w:pPr>
            <w:r w:rsidRPr="001B2D1E">
              <w:rPr>
                <w:rFonts w:ascii="Calibri" w:hAnsi="Calibri" w:cs="Arial"/>
                <w:bCs/>
                <w:sz w:val="22"/>
                <w:szCs w:val="22"/>
              </w:rPr>
              <w:t>15 Incentivos al rendimiento</w:t>
            </w:r>
          </w:p>
        </w:tc>
        <w:tc>
          <w:tcPr>
            <w:tcW w:w="156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1.727.400,38</w:t>
            </w:r>
          </w:p>
        </w:tc>
        <w:tc>
          <w:tcPr>
            <w:tcW w:w="1729"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1.398.804,15</w:t>
            </w:r>
          </w:p>
        </w:tc>
        <w:tc>
          <w:tcPr>
            <w:tcW w:w="1106"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23,49%</w:t>
            </w:r>
          </w:p>
        </w:tc>
      </w:tr>
      <w:tr w:rsidR="00AB338C" w:rsidRPr="001B2D1E" w:rsidTr="00AB338C">
        <w:tc>
          <w:tcPr>
            <w:tcW w:w="4219" w:type="dxa"/>
            <w:vAlign w:val="center"/>
          </w:tcPr>
          <w:p w:rsidR="00AB338C" w:rsidRPr="001B2D1E" w:rsidRDefault="00AB338C" w:rsidP="00AB338C">
            <w:pPr>
              <w:spacing w:line="300" w:lineRule="auto"/>
              <w:rPr>
                <w:rFonts w:ascii="Calibri" w:hAnsi="Calibri" w:cs="Arial"/>
                <w:bCs/>
                <w:sz w:val="22"/>
                <w:szCs w:val="22"/>
              </w:rPr>
            </w:pPr>
            <w:r w:rsidRPr="001B2D1E">
              <w:rPr>
                <w:rFonts w:ascii="Calibri" w:hAnsi="Calibri" w:cs="Arial"/>
                <w:bCs/>
                <w:sz w:val="22"/>
                <w:szCs w:val="22"/>
              </w:rPr>
              <w:t>16 Cuotas, prestaciones y gastos sociales</w:t>
            </w:r>
          </w:p>
        </w:tc>
        <w:tc>
          <w:tcPr>
            <w:tcW w:w="1560"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4.150.133,63</w:t>
            </w:r>
          </w:p>
        </w:tc>
        <w:tc>
          <w:tcPr>
            <w:tcW w:w="1729"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4.025.608,73</w:t>
            </w:r>
          </w:p>
        </w:tc>
        <w:tc>
          <w:tcPr>
            <w:tcW w:w="1106" w:type="dxa"/>
            <w:vAlign w:val="center"/>
          </w:tcPr>
          <w:p w:rsidR="00AB338C" w:rsidRDefault="00AB338C" w:rsidP="00AB338C">
            <w:pPr>
              <w:jc w:val="right"/>
              <w:rPr>
                <w:rFonts w:ascii="Calibri" w:hAnsi="Calibri"/>
                <w:color w:val="000000"/>
                <w:sz w:val="22"/>
                <w:szCs w:val="22"/>
              </w:rPr>
            </w:pPr>
            <w:r>
              <w:rPr>
                <w:rFonts w:ascii="Calibri" w:hAnsi="Calibri"/>
                <w:color w:val="000000"/>
                <w:sz w:val="22"/>
                <w:szCs w:val="22"/>
              </w:rPr>
              <w:t>3,09%</w:t>
            </w:r>
          </w:p>
        </w:tc>
      </w:tr>
      <w:tr w:rsidR="00AB338C" w:rsidRPr="001B2D1E" w:rsidTr="00AB338C">
        <w:tc>
          <w:tcPr>
            <w:tcW w:w="4219" w:type="dxa"/>
          </w:tcPr>
          <w:p w:rsidR="00AB338C" w:rsidRPr="001B2D1E" w:rsidRDefault="00AB338C" w:rsidP="00AB338C">
            <w:pPr>
              <w:spacing w:line="300" w:lineRule="auto"/>
              <w:jc w:val="both"/>
              <w:rPr>
                <w:rFonts w:ascii="Calibri" w:hAnsi="Calibri" w:cs="Arial"/>
                <w:b/>
                <w:bCs/>
                <w:sz w:val="22"/>
                <w:szCs w:val="22"/>
              </w:rPr>
            </w:pPr>
          </w:p>
        </w:tc>
        <w:tc>
          <w:tcPr>
            <w:tcW w:w="1560" w:type="dxa"/>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15.994.654,60</w:t>
            </w:r>
          </w:p>
        </w:tc>
        <w:tc>
          <w:tcPr>
            <w:tcW w:w="1729" w:type="dxa"/>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15.273.827,02</w:t>
            </w:r>
          </w:p>
        </w:tc>
        <w:tc>
          <w:tcPr>
            <w:tcW w:w="1106" w:type="dxa"/>
            <w:vAlign w:val="center"/>
          </w:tcPr>
          <w:p w:rsidR="00AB338C" w:rsidRDefault="00AB338C" w:rsidP="00AB338C">
            <w:pPr>
              <w:jc w:val="right"/>
              <w:rPr>
                <w:rFonts w:ascii="Calibri" w:hAnsi="Calibri"/>
                <w:b/>
                <w:bCs/>
                <w:color w:val="000000"/>
                <w:sz w:val="22"/>
                <w:szCs w:val="22"/>
              </w:rPr>
            </w:pPr>
            <w:r>
              <w:rPr>
                <w:rFonts w:ascii="Calibri" w:hAnsi="Calibri"/>
                <w:b/>
                <w:bCs/>
                <w:color w:val="000000"/>
                <w:sz w:val="22"/>
                <w:szCs w:val="22"/>
              </w:rPr>
              <w:t>4,72%</w:t>
            </w:r>
          </w:p>
        </w:tc>
      </w:tr>
    </w:tbl>
    <w:p w:rsidR="00AB338C" w:rsidRPr="00B73E18" w:rsidRDefault="00AB338C" w:rsidP="00AB338C">
      <w:pPr>
        <w:spacing w:line="300" w:lineRule="auto"/>
        <w:ind w:firstLine="709"/>
        <w:jc w:val="both"/>
        <w:rPr>
          <w:rFonts w:ascii="Calibri" w:hAnsi="Calibri" w:cs="Arial"/>
          <w:bCs/>
          <w:color w:val="FF0000"/>
          <w:sz w:val="22"/>
          <w:szCs w:val="22"/>
        </w:rPr>
      </w:pPr>
    </w:p>
    <w:p w:rsidR="00AB338C" w:rsidRPr="001919A0" w:rsidRDefault="00AB338C" w:rsidP="00AB338C">
      <w:pPr>
        <w:spacing w:before="120" w:line="300" w:lineRule="auto"/>
        <w:ind w:firstLine="709"/>
        <w:jc w:val="both"/>
        <w:rPr>
          <w:rFonts w:asciiTheme="minorHAnsi" w:hAnsiTheme="minorHAnsi" w:cs="Arial"/>
          <w:bCs/>
          <w:sz w:val="22"/>
          <w:szCs w:val="22"/>
        </w:rPr>
      </w:pPr>
      <w:r w:rsidRPr="001919A0">
        <w:rPr>
          <w:rFonts w:asciiTheme="minorHAnsi" w:hAnsiTheme="minorHAnsi" w:cs="Arial"/>
          <w:bCs/>
          <w:sz w:val="22"/>
          <w:szCs w:val="22"/>
        </w:rPr>
        <w:t>Los criterios por los que ha sido elaborado este capítulo I son los siguientes:</w:t>
      </w:r>
    </w:p>
    <w:p w:rsidR="00AB338C" w:rsidRDefault="00AB338C" w:rsidP="00AB338C">
      <w:pPr>
        <w:numPr>
          <w:ilvl w:val="0"/>
          <w:numId w:val="1"/>
        </w:numPr>
        <w:spacing w:before="120" w:line="300" w:lineRule="auto"/>
        <w:ind w:left="993" w:hanging="425"/>
        <w:jc w:val="both"/>
        <w:rPr>
          <w:rFonts w:asciiTheme="minorHAnsi" w:hAnsiTheme="minorHAnsi" w:cs="Arial"/>
          <w:bCs/>
          <w:sz w:val="22"/>
          <w:szCs w:val="22"/>
        </w:rPr>
      </w:pPr>
      <w:r w:rsidRPr="00454DA9">
        <w:rPr>
          <w:rFonts w:asciiTheme="minorHAnsi" w:hAnsiTheme="minorHAnsi" w:cs="Arial"/>
          <w:bCs/>
          <w:sz w:val="22"/>
          <w:szCs w:val="22"/>
        </w:rPr>
        <w:t>Los compromisos derivados de los acuerdos y convenios de condiciones de trabajo suscritos entre esta Administración y el personal funcionario y laboral de la misma, salvo los que por Ley hayan sido modificados.</w:t>
      </w:r>
    </w:p>
    <w:p w:rsidR="00AB338C" w:rsidRPr="001919A0" w:rsidRDefault="00AB338C" w:rsidP="00AB338C">
      <w:pPr>
        <w:pStyle w:val="Prrafodelista"/>
        <w:numPr>
          <w:ilvl w:val="0"/>
          <w:numId w:val="1"/>
        </w:numPr>
        <w:spacing w:before="120" w:line="300" w:lineRule="auto"/>
        <w:jc w:val="both"/>
        <w:rPr>
          <w:rFonts w:asciiTheme="minorHAnsi" w:hAnsiTheme="minorHAnsi" w:cs="Arial"/>
          <w:bCs/>
          <w:sz w:val="22"/>
          <w:szCs w:val="22"/>
        </w:rPr>
      </w:pPr>
      <w:r w:rsidRPr="00D24B05">
        <w:rPr>
          <w:rFonts w:asciiTheme="minorHAnsi" w:hAnsiTheme="minorHAnsi" w:cstheme="minorHAnsi"/>
          <w:bCs/>
          <w:sz w:val="22"/>
          <w:szCs w:val="22"/>
        </w:rPr>
        <w:t>El incremento de las retribuciones del personal en un 2,</w:t>
      </w:r>
      <w:r>
        <w:rPr>
          <w:rFonts w:asciiTheme="minorHAnsi" w:hAnsiTheme="minorHAnsi" w:cstheme="minorHAnsi"/>
          <w:bCs/>
          <w:sz w:val="22"/>
          <w:szCs w:val="22"/>
        </w:rPr>
        <w:t>50</w:t>
      </w:r>
      <w:r w:rsidRPr="00D24B05">
        <w:rPr>
          <w:rFonts w:asciiTheme="minorHAnsi" w:hAnsiTheme="minorHAnsi" w:cstheme="minorHAnsi"/>
          <w:bCs/>
          <w:sz w:val="22"/>
          <w:szCs w:val="22"/>
        </w:rPr>
        <w:t xml:space="preserve">% </w:t>
      </w:r>
      <w:r>
        <w:rPr>
          <w:rFonts w:asciiTheme="minorHAnsi" w:hAnsiTheme="minorHAnsi" w:cstheme="minorHAnsi"/>
          <w:bCs/>
          <w:sz w:val="22"/>
          <w:szCs w:val="22"/>
        </w:rPr>
        <w:t xml:space="preserve">con respecto a las de </w:t>
      </w:r>
      <w:r w:rsidRPr="00D24B05">
        <w:rPr>
          <w:rFonts w:asciiTheme="minorHAnsi" w:hAnsiTheme="minorHAnsi" w:cstheme="minorHAnsi"/>
          <w:bCs/>
          <w:sz w:val="22"/>
          <w:szCs w:val="22"/>
        </w:rPr>
        <w:t>diciembre de 20</w:t>
      </w:r>
      <w:r>
        <w:rPr>
          <w:rFonts w:asciiTheme="minorHAnsi" w:hAnsiTheme="minorHAnsi" w:cstheme="minorHAnsi"/>
          <w:bCs/>
          <w:sz w:val="22"/>
          <w:szCs w:val="22"/>
        </w:rPr>
        <w:t>18.</w:t>
      </w:r>
    </w:p>
    <w:p w:rsidR="00AB338C" w:rsidRDefault="00AB338C" w:rsidP="00AB338C">
      <w:pPr>
        <w:numPr>
          <w:ilvl w:val="0"/>
          <w:numId w:val="1"/>
        </w:numPr>
        <w:spacing w:before="120" w:line="300" w:lineRule="auto"/>
        <w:jc w:val="both"/>
        <w:rPr>
          <w:rFonts w:asciiTheme="minorHAnsi" w:hAnsiTheme="minorHAnsi" w:cs="Arial"/>
          <w:bCs/>
          <w:sz w:val="22"/>
          <w:szCs w:val="22"/>
        </w:rPr>
      </w:pPr>
      <w:r w:rsidRPr="00454DA9">
        <w:rPr>
          <w:rFonts w:asciiTheme="minorHAnsi" w:hAnsiTheme="minorHAnsi" w:cs="Arial"/>
          <w:bCs/>
          <w:sz w:val="22"/>
          <w:szCs w:val="22"/>
        </w:rPr>
        <w:t>Compromisos adquiridos en el Acuerdo de fin de Huelga, aprobados por el Pleno del Consorcio el 28 de junio de 2017</w:t>
      </w:r>
      <w:r>
        <w:rPr>
          <w:rFonts w:asciiTheme="minorHAnsi" w:hAnsiTheme="minorHAnsi" w:cs="Arial"/>
          <w:bCs/>
          <w:sz w:val="22"/>
          <w:szCs w:val="22"/>
        </w:rPr>
        <w:t>,</w:t>
      </w:r>
      <w:r w:rsidRPr="00454DA9">
        <w:rPr>
          <w:rFonts w:asciiTheme="minorHAnsi" w:hAnsiTheme="minorHAnsi" w:cs="Arial"/>
          <w:bCs/>
          <w:sz w:val="22"/>
          <w:szCs w:val="22"/>
        </w:rPr>
        <w:t xml:space="preserve"> y </w:t>
      </w:r>
      <w:r>
        <w:rPr>
          <w:rFonts w:asciiTheme="minorHAnsi" w:hAnsiTheme="minorHAnsi" w:cs="Arial"/>
          <w:bCs/>
          <w:sz w:val="22"/>
          <w:szCs w:val="22"/>
        </w:rPr>
        <w:t xml:space="preserve">acuerdos alcanzados en la Mesa General de Negociación  el 12 de abril de 2019, aprobados por el Pleno el </w:t>
      </w:r>
      <w:r w:rsidRPr="00454DA9">
        <w:rPr>
          <w:rFonts w:asciiTheme="minorHAnsi" w:hAnsiTheme="minorHAnsi" w:cs="Arial"/>
          <w:bCs/>
          <w:sz w:val="22"/>
          <w:szCs w:val="22"/>
        </w:rPr>
        <w:t xml:space="preserve">8 de mayo </w:t>
      </w:r>
      <w:r>
        <w:rPr>
          <w:rFonts w:asciiTheme="minorHAnsi" w:hAnsiTheme="minorHAnsi" w:cs="Arial"/>
          <w:bCs/>
          <w:sz w:val="22"/>
          <w:szCs w:val="22"/>
        </w:rPr>
        <w:t>del actual</w:t>
      </w:r>
      <w:r w:rsidRPr="00454DA9">
        <w:rPr>
          <w:rFonts w:asciiTheme="minorHAnsi" w:hAnsiTheme="minorHAnsi" w:cs="Arial"/>
          <w:bCs/>
          <w:sz w:val="22"/>
          <w:szCs w:val="22"/>
        </w:rPr>
        <w:t>:</w:t>
      </w:r>
    </w:p>
    <w:p w:rsidR="00AB338C" w:rsidRPr="00945464" w:rsidRDefault="00AB338C" w:rsidP="00652FF8">
      <w:pPr>
        <w:pStyle w:val="Prrafodelista"/>
        <w:numPr>
          <w:ilvl w:val="0"/>
          <w:numId w:val="2"/>
        </w:numPr>
        <w:spacing w:before="120" w:line="300" w:lineRule="auto"/>
        <w:ind w:left="1985"/>
        <w:jc w:val="both"/>
        <w:rPr>
          <w:rFonts w:asciiTheme="minorHAnsi" w:hAnsiTheme="minorHAnsi" w:cs="Arial"/>
          <w:bCs/>
          <w:sz w:val="22"/>
          <w:szCs w:val="22"/>
        </w:rPr>
      </w:pPr>
      <w:r>
        <w:rPr>
          <w:rFonts w:asciiTheme="minorHAnsi" w:hAnsiTheme="minorHAnsi" w:cstheme="minorHAnsi"/>
          <w:bCs/>
          <w:sz w:val="22"/>
          <w:szCs w:val="22"/>
        </w:rPr>
        <w:t>I</w:t>
      </w:r>
      <w:r w:rsidRPr="006E3297">
        <w:rPr>
          <w:rFonts w:asciiTheme="minorHAnsi" w:hAnsiTheme="minorHAnsi" w:cstheme="minorHAnsi"/>
          <w:bCs/>
          <w:sz w:val="22"/>
          <w:szCs w:val="22"/>
        </w:rPr>
        <w:t xml:space="preserve">ncremento de las retribuciones básicas en algunas categorías del personal funcionario del Consorcio en lo que respecta a las </w:t>
      </w:r>
      <w:r w:rsidRPr="00945464">
        <w:rPr>
          <w:rFonts w:asciiTheme="minorHAnsi" w:hAnsiTheme="minorHAnsi" w:cstheme="minorHAnsi"/>
          <w:bCs/>
          <w:sz w:val="22"/>
          <w:szCs w:val="22"/>
        </w:rPr>
        <w:t>Pagas extraordinarias.</w:t>
      </w:r>
    </w:p>
    <w:p w:rsidR="00AB338C" w:rsidRPr="00AF5D66" w:rsidRDefault="00AB338C" w:rsidP="00652FF8">
      <w:pPr>
        <w:pStyle w:val="Prrafodelista"/>
        <w:numPr>
          <w:ilvl w:val="0"/>
          <w:numId w:val="2"/>
        </w:numPr>
        <w:spacing w:before="120" w:line="300" w:lineRule="auto"/>
        <w:ind w:left="1985"/>
        <w:jc w:val="both"/>
        <w:rPr>
          <w:rFonts w:asciiTheme="minorHAnsi" w:hAnsiTheme="minorHAnsi" w:cs="Arial"/>
          <w:bCs/>
          <w:sz w:val="22"/>
          <w:szCs w:val="22"/>
        </w:rPr>
      </w:pPr>
      <w:r w:rsidRPr="006E3297">
        <w:rPr>
          <w:rFonts w:asciiTheme="minorHAnsi" w:hAnsiTheme="minorHAnsi" w:cstheme="minorHAnsi"/>
          <w:bCs/>
          <w:sz w:val="22"/>
          <w:szCs w:val="22"/>
        </w:rPr>
        <w:t>32 plazas vacantes de Bombero Especialista Conductor, subgrupo C1, todas dotadas a partir del 1 de julio de 2020</w:t>
      </w:r>
      <w:r>
        <w:rPr>
          <w:rFonts w:asciiTheme="minorHAnsi" w:hAnsiTheme="minorHAnsi" w:cstheme="minorHAnsi"/>
          <w:bCs/>
          <w:sz w:val="22"/>
          <w:szCs w:val="22"/>
        </w:rPr>
        <w:t xml:space="preserve">. </w:t>
      </w:r>
    </w:p>
    <w:p w:rsidR="00AB338C" w:rsidRDefault="00AB338C" w:rsidP="00652FF8">
      <w:pPr>
        <w:pStyle w:val="Prrafodelista"/>
        <w:numPr>
          <w:ilvl w:val="0"/>
          <w:numId w:val="2"/>
        </w:numPr>
        <w:ind w:left="1985"/>
        <w:jc w:val="both"/>
      </w:pPr>
      <w:r w:rsidRPr="00AF5D66">
        <w:rPr>
          <w:rFonts w:asciiTheme="minorHAnsi" w:hAnsiTheme="minorHAnsi" w:cstheme="minorHAnsi"/>
          <w:bCs/>
          <w:sz w:val="22"/>
          <w:szCs w:val="22"/>
        </w:rPr>
        <w:t>Las guardias de convenio del personal operativo sujeto a turno</w:t>
      </w:r>
      <w:r w:rsidR="005B1AC5">
        <w:rPr>
          <w:rFonts w:asciiTheme="minorHAnsi" w:hAnsiTheme="minorHAnsi" w:cstheme="minorHAnsi"/>
          <w:bCs/>
          <w:sz w:val="22"/>
          <w:szCs w:val="22"/>
        </w:rPr>
        <w:t xml:space="preserve"> </w:t>
      </w:r>
      <w:r w:rsidRPr="00AF5D66">
        <w:rPr>
          <w:rFonts w:asciiTheme="minorHAnsi" w:hAnsiTheme="minorHAnsi" w:cstheme="minorHAnsi"/>
          <w:bCs/>
          <w:sz w:val="22"/>
          <w:szCs w:val="22"/>
        </w:rPr>
        <w:t xml:space="preserve">se han reducido a 6 guardias </w:t>
      </w:r>
      <w:r>
        <w:rPr>
          <w:rFonts w:asciiTheme="minorHAnsi" w:hAnsiTheme="minorHAnsi" w:cstheme="minorHAnsi"/>
          <w:bCs/>
          <w:sz w:val="22"/>
          <w:szCs w:val="22"/>
        </w:rPr>
        <w:t xml:space="preserve">anuales, </w:t>
      </w:r>
      <w:r w:rsidRPr="006E3297">
        <w:rPr>
          <w:rFonts w:asciiTheme="minorHAnsi" w:hAnsiTheme="minorHAnsi" w:cstheme="minorHAnsi"/>
          <w:bCs/>
          <w:sz w:val="22"/>
          <w:szCs w:val="22"/>
        </w:rPr>
        <w:t>al haberse adaptado la jornada especial de trabajo del personal operativo de este Consorcio a treinta y siete horas y treinta minutos (37 h y 30 m) semanales de trabajo efectivo de promedio en c</w:t>
      </w:r>
      <w:r>
        <w:rPr>
          <w:rFonts w:asciiTheme="minorHAnsi" w:hAnsiTheme="minorHAnsi" w:cstheme="minorHAnsi"/>
          <w:bCs/>
          <w:sz w:val="22"/>
          <w:szCs w:val="22"/>
        </w:rPr>
        <w:t>ó</w:t>
      </w:r>
      <w:r w:rsidRPr="006E3297">
        <w:rPr>
          <w:rFonts w:asciiTheme="minorHAnsi" w:hAnsiTheme="minorHAnsi" w:cstheme="minorHAnsi"/>
          <w:bCs/>
          <w:sz w:val="22"/>
          <w:szCs w:val="22"/>
        </w:rPr>
        <w:t>mputo anual</w:t>
      </w:r>
      <w:r>
        <w:rPr>
          <w:rFonts w:asciiTheme="minorHAnsi" w:hAnsiTheme="minorHAnsi" w:cstheme="minorHAnsi"/>
          <w:bCs/>
          <w:sz w:val="22"/>
          <w:szCs w:val="22"/>
        </w:rPr>
        <w:t>.</w:t>
      </w:r>
    </w:p>
    <w:p w:rsidR="00AB338C" w:rsidRPr="00AF5D66" w:rsidRDefault="00AB338C" w:rsidP="00652FF8">
      <w:pPr>
        <w:pStyle w:val="Prrafodelista"/>
        <w:numPr>
          <w:ilvl w:val="0"/>
          <w:numId w:val="2"/>
        </w:numPr>
        <w:spacing w:before="120" w:line="300" w:lineRule="auto"/>
        <w:ind w:left="1985"/>
        <w:jc w:val="both"/>
        <w:rPr>
          <w:rFonts w:asciiTheme="minorHAnsi" w:hAnsiTheme="minorHAnsi" w:cs="Arial"/>
          <w:bCs/>
          <w:sz w:val="22"/>
          <w:szCs w:val="22"/>
        </w:rPr>
      </w:pPr>
      <w:r>
        <w:rPr>
          <w:rFonts w:asciiTheme="minorHAnsi" w:hAnsiTheme="minorHAnsi" w:cstheme="minorHAnsi"/>
          <w:bCs/>
          <w:sz w:val="22"/>
          <w:szCs w:val="22"/>
        </w:rPr>
        <w:t xml:space="preserve">Nuevo complemento funcional </w:t>
      </w:r>
      <w:r w:rsidRPr="006E3297">
        <w:rPr>
          <w:rFonts w:asciiTheme="minorHAnsi" w:hAnsiTheme="minorHAnsi" w:cstheme="minorHAnsi"/>
          <w:bCs/>
          <w:sz w:val="22"/>
          <w:szCs w:val="22"/>
        </w:rPr>
        <w:t>acordado en la Mesa General de Negoción, en concepto de traslado de EPIS en los vehículos particulares</w:t>
      </w:r>
      <w:r>
        <w:rPr>
          <w:rFonts w:asciiTheme="minorHAnsi" w:hAnsiTheme="minorHAnsi" w:cstheme="minorHAnsi"/>
          <w:bCs/>
          <w:sz w:val="22"/>
          <w:szCs w:val="22"/>
        </w:rPr>
        <w:t>.</w:t>
      </w:r>
    </w:p>
    <w:p w:rsidR="00AB338C" w:rsidRPr="001919A0" w:rsidRDefault="00AB338C" w:rsidP="00652FF8">
      <w:pPr>
        <w:pStyle w:val="Prrafodelista"/>
        <w:numPr>
          <w:ilvl w:val="0"/>
          <w:numId w:val="2"/>
        </w:numPr>
        <w:spacing w:before="120" w:line="300" w:lineRule="auto"/>
        <w:ind w:left="1985"/>
        <w:jc w:val="both"/>
        <w:rPr>
          <w:rFonts w:asciiTheme="minorHAnsi" w:hAnsiTheme="minorHAnsi" w:cs="Arial"/>
          <w:bCs/>
          <w:sz w:val="22"/>
          <w:szCs w:val="22"/>
        </w:rPr>
      </w:pPr>
      <w:r>
        <w:rPr>
          <w:rFonts w:asciiTheme="minorHAnsi" w:hAnsiTheme="minorHAnsi" w:cstheme="minorHAnsi"/>
          <w:bCs/>
          <w:sz w:val="22"/>
          <w:szCs w:val="22"/>
        </w:rPr>
        <w:t>L</w:t>
      </w:r>
      <w:r w:rsidRPr="006E3297">
        <w:rPr>
          <w:rFonts w:asciiTheme="minorHAnsi" w:hAnsiTheme="minorHAnsi" w:cstheme="minorHAnsi"/>
          <w:bCs/>
          <w:sz w:val="22"/>
          <w:szCs w:val="22"/>
        </w:rPr>
        <w:t>a parte práctica de cada uno de los m</w:t>
      </w:r>
      <w:r>
        <w:rPr>
          <w:rFonts w:asciiTheme="minorHAnsi" w:hAnsiTheme="minorHAnsi" w:cstheme="minorHAnsi"/>
          <w:bCs/>
          <w:sz w:val="22"/>
          <w:szCs w:val="22"/>
        </w:rPr>
        <w:t>ódulos de formación obligatoria</w:t>
      </w:r>
      <w:r w:rsidRPr="006E3297">
        <w:rPr>
          <w:rFonts w:asciiTheme="minorHAnsi" w:hAnsiTheme="minorHAnsi" w:cstheme="minorHAnsi"/>
          <w:bCs/>
          <w:sz w:val="22"/>
          <w:szCs w:val="22"/>
        </w:rPr>
        <w:t xml:space="preserve"> se realizará fuera de los turnos de trabajo y será compensada con descanso equivalente con una duración anual de 24 horas.</w:t>
      </w:r>
    </w:p>
    <w:p w:rsidR="00AB338C" w:rsidRPr="001919A0" w:rsidRDefault="00AB338C" w:rsidP="00652FF8">
      <w:pPr>
        <w:pStyle w:val="Prrafodelista"/>
        <w:numPr>
          <w:ilvl w:val="0"/>
          <w:numId w:val="2"/>
        </w:numPr>
        <w:spacing w:before="120" w:line="300" w:lineRule="auto"/>
        <w:ind w:left="1985"/>
        <w:jc w:val="both"/>
        <w:rPr>
          <w:rFonts w:asciiTheme="minorHAnsi" w:hAnsiTheme="minorHAnsi" w:cs="Arial"/>
          <w:bCs/>
          <w:sz w:val="22"/>
          <w:szCs w:val="22"/>
        </w:rPr>
      </w:pPr>
      <w:r w:rsidRPr="001919A0">
        <w:rPr>
          <w:rFonts w:asciiTheme="minorHAnsi" w:hAnsiTheme="minorHAnsi" w:cstheme="minorHAnsi"/>
          <w:bCs/>
          <w:sz w:val="22"/>
          <w:szCs w:val="22"/>
        </w:rPr>
        <w:t>Los gastos presupuestados de acción social se mantienen igual que en los ejercicios anteriores.</w:t>
      </w:r>
      <w:r w:rsidR="002E41C7">
        <w:rPr>
          <w:rFonts w:asciiTheme="minorHAnsi" w:hAnsiTheme="minorHAnsi" w:cstheme="minorHAnsi"/>
          <w:bCs/>
          <w:sz w:val="22"/>
          <w:szCs w:val="22"/>
        </w:rPr>
        <w:t xml:space="preserve"> </w:t>
      </w:r>
      <w:r w:rsidRPr="001919A0">
        <w:rPr>
          <w:rFonts w:asciiTheme="minorHAnsi" w:hAnsiTheme="minorHAnsi" w:cs="Arial"/>
          <w:bCs/>
          <w:sz w:val="22"/>
          <w:szCs w:val="22"/>
        </w:rPr>
        <w:t>Se dota presupuestariamente la cantidad de 165.000,00 euros en ejecución del Plan Específico de incentivos a la jubilación anticipada.</w:t>
      </w:r>
    </w:p>
    <w:p w:rsidR="00AB338C" w:rsidRPr="006E3297" w:rsidRDefault="00AB338C" w:rsidP="00652FF8">
      <w:pPr>
        <w:pStyle w:val="Prrafodelista"/>
        <w:numPr>
          <w:ilvl w:val="0"/>
          <w:numId w:val="2"/>
        </w:numPr>
        <w:spacing w:before="120" w:after="120" w:line="25" w:lineRule="atLeast"/>
        <w:ind w:left="1985"/>
        <w:jc w:val="both"/>
        <w:rPr>
          <w:rFonts w:asciiTheme="minorHAnsi" w:hAnsiTheme="minorHAnsi" w:cstheme="minorHAnsi"/>
          <w:bCs/>
          <w:sz w:val="22"/>
          <w:szCs w:val="22"/>
        </w:rPr>
      </w:pPr>
      <w:r w:rsidRPr="006E3297">
        <w:rPr>
          <w:rFonts w:asciiTheme="minorHAnsi" w:hAnsiTheme="minorHAnsi" w:cstheme="minorHAnsi"/>
          <w:bCs/>
          <w:sz w:val="22"/>
          <w:szCs w:val="22"/>
        </w:rPr>
        <w:lastRenderedPageBreak/>
        <w:t>El coste de los días de asuntos particulares y de vacaciones adicionales por antigüedad aprobados por el Real Decreto Ley 10/2015 de 11 de septiembre.</w:t>
      </w:r>
    </w:p>
    <w:p w:rsidR="00AB338C" w:rsidRPr="00454DA9" w:rsidRDefault="00AB338C" w:rsidP="00652FF8">
      <w:pPr>
        <w:pStyle w:val="Prrafodelista"/>
        <w:numPr>
          <w:ilvl w:val="0"/>
          <w:numId w:val="2"/>
        </w:numPr>
        <w:spacing w:before="120" w:line="300" w:lineRule="auto"/>
        <w:ind w:left="1985"/>
        <w:jc w:val="both"/>
        <w:rPr>
          <w:rFonts w:asciiTheme="minorHAnsi" w:hAnsiTheme="minorHAnsi" w:cs="Arial"/>
          <w:bCs/>
          <w:sz w:val="22"/>
          <w:szCs w:val="22"/>
        </w:rPr>
      </w:pPr>
      <w:r w:rsidRPr="00D24B05">
        <w:rPr>
          <w:rFonts w:asciiTheme="minorHAnsi" w:eastAsiaTheme="minorHAnsi" w:hAnsiTheme="minorHAnsi" w:cstheme="minorHAnsi"/>
          <w:bCs/>
          <w:sz w:val="22"/>
          <w:szCs w:val="22"/>
          <w:lang w:eastAsia="en-US"/>
        </w:rPr>
        <w:t xml:space="preserve">El </w:t>
      </w:r>
      <w:r w:rsidRPr="00D24B05">
        <w:rPr>
          <w:rFonts w:asciiTheme="minorHAnsi" w:hAnsiTheme="minorHAnsi" w:cstheme="minorHAnsi"/>
          <w:bCs/>
          <w:sz w:val="22"/>
          <w:szCs w:val="22"/>
        </w:rPr>
        <w:t>incremento</w:t>
      </w:r>
      <w:r w:rsidRPr="00D24B05">
        <w:rPr>
          <w:rFonts w:asciiTheme="minorHAnsi" w:eastAsiaTheme="minorHAnsi" w:hAnsiTheme="minorHAnsi" w:cstheme="minorHAnsi"/>
          <w:bCs/>
          <w:sz w:val="22"/>
          <w:szCs w:val="22"/>
          <w:lang w:eastAsia="en-US"/>
        </w:rPr>
        <w:t xml:space="preserve"> del valor del punto del complemento específico</w:t>
      </w:r>
      <w:r w:rsidR="005B1AC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para equipararlo al del Cabildo de Tenerife.</w:t>
      </w:r>
    </w:p>
    <w:p w:rsidR="00AB338C" w:rsidRPr="006E3297" w:rsidRDefault="00AB338C" w:rsidP="00AB338C">
      <w:pPr>
        <w:pStyle w:val="Default"/>
        <w:numPr>
          <w:ilvl w:val="0"/>
          <w:numId w:val="1"/>
        </w:numPr>
        <w:spacing w:before="120" w:after="120" w:line="25" w:lineRule="atLeast"/>
        <w:jc w:val="both"/>
        <w:rPr>
          <w:rFonts w:asciiTheme="minorHAnsi" w:hAnsiTheme="minorHAnsi" w:cstheme="minorHAnsi"/>
          <w:bCs/>
          <w:color w:val="auto"/>
          <w:sz w:val="22"/>
          <w:szCs w:val="22"/>
        </w:rPr>
      </w:pPr>
      <w:r w:rsidRPr="006E3297">
        <w:rPr>
          <w:rFonts w:asciiTheme="minorHAnsi" w:hAnsiTheme="minorHAnsi" w:cstheme="minorHAnsi"/>
          <w:color w:val="auto"/>
          <w:sz w:val="22"/>
          <w:szCs w:val="22"/>
        </w:rPr>
        <w:t>Asimism</w:t>
      </w:r>
      <w:r w:rsidRPr="00C50E9D">
        <w:rPr>
          <w:rFonts w:asciiTheme="minorHAnsi" w:hAnsiTheme="minorHAnsi" w:cstheme="minorHAnsi"/>
          <w:color w:val="auto"/>
          <w:sz w:val="22"/>
          <w:szCs w:val="22"/>
        </w:rPr>
        <w:t xml:space="preserve">o, se continúa presupuestando </w:t>
      </w:r>
      <w:r w:rsidRPr="006E3297">
        <w:rPr>
          <w:rFonts w:asciiTheme="minorHAnsi" w:hAnsiTheme="minorHAnsi" w:cstheme="minorHAnsi"/>
          <w:color w:val="auto"/>
          <w:sz w:val="22"/>
          <w:szCs w:val="22"/>
        </w:rPr>
        <w:t>las siguientes plazas recogidas en el Presupuesto de 2019:</w:t>
      </w:r>
    </w:p>
    <w:p w:rsidR="00AB338C" w:rsidRPr="006E3297" w:rsidRDefault="00AB338C" w:rsidP="00652FF8">
      <w:pPr>
        <w:pStyle w:val="Prrafodelista"/>
        <w:numPr>
          <w:ilvl w:val="0"/>
          <w:numId w:val="3"/>
        </w:numPr>
        <w:spacing w:before="120" w:after="120" w:line="25" w:lineRule="atLeast"/>
        <w:jc w:val="both"/>
        <w:rPr>
          <w:rFonts w:asciiTheme="minorHAnsi" w:hAnsiTheme="minorHAnsi" w:cstheme="minorHAnsi"/>
          <w:bCs/>
          <w:sz w:val="22"/>
          <w:szCs w:val="22"/>
        </w:rPr>
      </w:pPr>
      <w:r w:rsidRPr="006E3297">
        <w:rPr>
          <w:rFonts w:asciiTheme="minorHAnsi" w:hAnsiTheme="minorHAnsi" w:cstheme="minorHAnsi"/>
          <w:b/>
          <w:bCs/>
          <w:sz w:val="22"/>
          <w:szCs w:val="22"/>
        </w:rPr>
        <w:t>32 plazas de bombero especialista conductor</w:t>
      </w:r>
      <w:r w:rsidRPr="006E3297">
        <w:rPr>
          <w:rFonts w:asciiTheme="minorHAnsi" w:hAnsiTheme="minorHAnsi" w:cstheme="minorHAnsi"/>
          <w:bCs/>
          <w:sz w:val="22"/>
          <w:szCs w:val="22"/>
        </w:rPr>
        <w:t xml:space="preserve"> derivadas de la apertura del Parque de Güímar dotadas a partir del 01.07.19.</w:t>
      </w:r>
    </w:p>
    <w:p w:rsidR="00AB338C" w:rsidRPr="006E3297" w:rsidRDefault="00AB338C" w:rsidP="00AB338C">
      <w:pPr>
        <w:pStyle w:val="Prrafodelista"/>
        <w:spacing w:before="120" w:after="120" w:line="25" w:lineRule="atLeast"/>
        <w:ind w:left="709" w:firstLineChars="515" w:firstLine="1133"/>
        <w:jc w:val="both"/>
        <w:rPr>
          <w:rFonts w:asciiTheme="minorHAnsi" w:hAnsiTheme="minorHAnsi" w:cstheme="minorHAnsi"/>
          <w:bCs/>
          <w:sz w:val="22"/>
          <w:szCs w:val="22"/>
        </w:rPr>
      </w:pPr>
    </w:p>
    <w:p w:rsidR="00AB338C" w:rsidRPr="006E3297" w:rsidRDefault="00AB338C" w:rsidP="00652FF8">
      <w:pPr>
        <w:pStyle w:val="Prrafodelista"/>
        <w:numPr>
          <w:ilvl w:val="0"/>
          <w:numId w:val="3"/>
        </w:numPr>
        <w:spacing w:before="120" w:after="120" w:line="25" w:lineRule="atLeast"/>
        <w:jc w:val="both"/>
        <w:rPr>
          <w:rFonts w:asciiTheme="minorHAnsi" w:hAnsiTheme="minorHAnsi" w:cstheme="minorHAnsi"/>
          <w:sz w:val="22"/>
          <w:szCs w:val="22"/>
        </w:rPr>
      </w:pPr>
      <w:r w:rsidRPr="006E3297">
        <w:rPr>
          <w:rFonts w:asciiTheme="minorHAnsi" w:hAnsiTheme="minorHAnsi" w:cstheme="minorHAnsi"/>
          <w:b/>
          <w:sz w:val="22"/>
          <w:szCs w:val="22"/>
        </w:rPr>
        <w:t>1 plaza de Técnico de Administración General.</w:t>
      </w:r>
      <w:r w:rsidRPr="006E3297">
        <w:rPr>
          <w:rFonts w:asciiTheme="minorHAnsi" w:hAnsiTheme="minorHAnsi" w:cstheme="minorHAnsi"/>
          <w:bCs/>
          <w:sz w:val="22"/>
          <w:szCs w:val="22"/>
        </w:rPr>
        <w:t xml:space="preserve"> Dotada a partir del 01.</w:t>
      </w:r>
      <w:r>
        <w:rPr>
          <w:rFonts w:asciiTheme="minorHAnsi" w:hAnsiTheme="minorHAnsi" w:cstheme="minorHAnsi"/>
          <w:bCs/>
          <w:sz w:val="22"/>
          <w:szCs w:val="22"/>
        </w:rPr>
        <w:t>01.2020</w:t>
      </w:r>
    </w:p>
    <w:p w:rsidR="00AB338C" w:rsidRPr="006E3297" w:rsidRDefault="00AB338C" w:rsidP="00AB338C">
      <w:pPr>
        <w:pStyle w:val="Prrafodelista"/>
        <w:rPr>
          <w:rFonts w:asciiTheme="minorHAnsi" w:hAnsiTheme="minorHAnsi" w:cstheme="minorHAnsi"/>
          <w:sz w:val="22"/>
          <w:szCs w:val="22"/>
        </w:rPr>
      </w:pPr>
    </w:p>
    <w:p w:rsidR="00AB338C" w:rsidRPr="006E3297" w:rsidRDefault="00AB338C" w:rsidP="00652FF8">
      <w:pPr>
        <w:pStyle w:val="Prrafodelista"/>
        <w:numPr>
          <w:ilvl w:val="0"/>
          <w:numId w:val="3"/>
        </w:numPr>
        <w:spacing w:before="120" w:after="120" w:line="25" w:lineRule="atLeast"/>
        <w:jc w:val="both"/>
        <w:rPr>
          <w:rFonts w:asciiTheme="minorHAnsi" w:hAnsiTheme="minorHAnsi" w:cstheme="minorHAnsi"/>
          <w:sz w:val="22"/>
          <w:szCs w:val="22"/>
        </w:rPr>
      </w:pPr>
      <w:r w:rsidRPr="006E3297">
        <w:rPr>
          <w:rFonts w:asciiTheme="minorHAnsi" w:hAnsiTheme="minorHAnsi" w:cstheme="minorHAnsi"/>
          <w:b/>
          <w:sz w:val="22"/>
          <w:szCs w:val="22"/>
        </w:rPr>
        <w:t>1 plaza de Técnico de Administración Especial</w:t>
      </w:r>
      <w:r w:rsidRPr="006E3297">
        <w:rPr>
          <w:rFonts w:asciiTheme="minorHAnsi" w:hAnsiTheme="minorHAnsi" w:cstheme="minorHAnsi"/>
          <w:sz w:val="22"/>
          <w:szCs w:val="22"/>
        </w:rPr>
        <w:t xml:space="preserve"> (adjunto al Oficial Jefe). </w:t>
      </w:r>
      <w:r>
        <w:rPr>
          <w:rFonts w:asciiTheme="minorHAnsi" w:hAnsiTheme="minorHAnsi" w:cstheme="minorHAnsi"/>
          <w:bCs/>
          <w:sz w:val="22"/>
          <w:szCs w:val="22"/>
        </w:rPr>
        <w:t>Dotada a partir del 01.01.2020</w:t>
      </w:r>
    </w:p>
    <w:p w:rsidR="00AB338C" w:rsidRPr="006E3297" w:rsidRDefault="00AB338C" w:rsidP="00AB338C">
      <w:pPr>
        <w:pStyle w:val="Prrafodelista"/>
        <w:spacing w:before="120" w:after="120" w:line="25" w:lineRule="atLeast"/>
        <w:ind w:left="2127"/>
        <w:jc w:val="both"/>
        <w:rPr>
          <w:rFonts w:asciiTheme="minorHAnsi" w:hAnsiTheme="minorHAnsi" w:cstheme="minorHAnsi"/>
          <w:sz w:val="22"/>
          <w:szCs w:val="22"/>
        </w:rPr>
      </w:pPr>
    </w:p>
    <w:p w:rsidR="00AB338C" w:rsidRPr="006E3297" w:rsidRDefault="00AB338C" w:rsidP="00652FF8">
      <w:pPr>
        <w:pStyle w:val="Prrafodelista"/>
        <w:numPr>
          <w:ilvl w:val="0"/>
          <w:numId w:val="4"/>
        </w:numPr>
        <w:spacing w:before="120" w:after="120" w:line="25" w:lineRule="atLeast"/>
        <w:ind w:left="2127"/>
        <w:jc w:val="both"/>
        <w:rPr>
          <w:rFonts w:asciiTheme="minorHAnsi" w:hAnsiTheme="minorHAnsi" w:cstheme="minorHAnsi"/>
          <w:sz w:val="22"/>
          <w:szCs w:val="22"/>
        </w:rPr>
      </w:pPr>
      <w:r w:rsidRPr="006E3297">
        <w:rPr>
          <w:rFonts w:asciiTheme="minorHAnsi" w:hAnsiTheme="minorHAnsi" w:cstheme="minorHAnsi"/>
          <w:b/>
          <w:bCs/>
          <w:sz w:val="22"/>
          <w:szCs w:val="22"/>
        </w:rPr>
        <w:t xml:space="preserve">1 plaza de Ingeniero. </w:t>
      </w:r>
    </w:p>
    <w:p w:rsidR="00AB338C" w:rsidRPr="006E3297" w:rsidRDefault="00AB338C" w:rsidP="00AB338C">
      <w:pPr>
        <w:pStyle w:val="Prrafodelista"/>
        <w:ind w:left="2127"/>
        <w:rPr>
          <w:rFonts w:asciiTheme="minorHAnsi" w:hAnsiTheme="minorHAnsi" w:cstheme="minorHAnsi"/>
          <w:sz w:val="22"/>
          <w:szCs w:val="22"/>
        </w:rPr>
      </w:pPr>
    </w:p>
    <w:p w:rsidR="00AB338C" w:rsidRPr="006E3297" w:rsidRDefault="00AB338C" w:rsidP="00652FF8">
      <w:pPr>
        <w:pStyle w:val="Prrafodelista"/>
        <w:numPr>
          <w:ilvl w:val="0"/>
          <w:numId w:val="4"/>
        </w:numPr>
        <w:spacing w:before="120" w:after="120" w:line="25" w:lineRule="atLeast"/>
        <w:ind w:left="2127"/>
        <w:jc w:val="both"/>
        <w:rPr>
          <w:rFonts w:asciiTheme="minorHAnsi" w:hAnsiTheme="minorHAnsi" w:cstheme="minorHAnsi"/>
          <w:sz w:val="22"/>
          <w:szCs w:val="22"/>
        </w:rPr>
      </w:pPr>
      <w:r w:rsidRPr="006E3297">
        <w:rPr>
          <w:rFonts w:asciiTheme="minorHAnsi" w:hAnsiTheme="minorHAnsi" w:cstheme="minorHAnsi"/>
          <w:b/>
          <w:bCs/>
          <w:sz w:val="22"/>
          <w:szCs w:val="22"/>
        </w:rPr>
        <w:t>1 plaza de Mecánico</w:t>
      </w:r>
      <w:r w:rsidRPr="006E3297">
        <w:rPr>
          <w:rFonts w:asciiTheme="minorHAnsi" w:hAnsiTheme="minorHAnsi" w:cstheme="minorHAnsi"/>
          <w:sz w:val="22"/>
          <w:szCs w:val="22"/>
        </w:rPr>
        <w:t>, debido a la necesidad de contar, tras la jubilación de su titular, con un empleado que desempeñe sus servicios en el taller de mecánica del Consorcio.</w:t>
      </w:r>
    </w:p>
    <w:p w:rsidR="00AB338C" w:rsidRPr="006E3297" w:rsidRDefault="00AB338C" w:rsidP="00AB338C">
      <w:pPr>
        <w:pStyle w:val="Prrafodelista"/>
        <w:spacing w:before="120" w:after="120" w:line="25" w:lineRule="atLeast"/>
        <w:ind w:left="2127" w:firstLineChars="513" w:firstLine="1129"/>
        <w:rPr>
          <w:rFonts w:asciiTheme="minorHAnsi" w:hAnsiTheme="minorHAnsi" w:cstheme="minorHAnsi"/>
          <w:sz w:val="22"/>
          <w:szCs w:val="22"/>
        </w:rPr>
      </w:pPr>
    </w:p>
    <w:p w:rsidR="00AB338C" w:rsidRPr="006E3297" w:rsidRDefault="00AB338C" w:rsidP="00652FF8">
      <w:pPr>
        <w:pStyle w:val="Prrafodelista"/>
        <w:numPr>
          <w:ilvl w:val="0"/>
          <w:numId w:val="4"/>
        </w:numPr>
        <w:spacing w:before="120" w:after="120" w:line="25" w:lineRule="atLeast"/>
        <w:ind w:left="2127"/>
        <w:jc w:val="both"/>
        <w:rPr>
          <w:rFonts w:asciiTheme="minorHAnsi" w:hAnsiTheme="minorHAnsi" w:cstheme="minorHAnsi"/>
          <w:sz w:val="22"/>
          <w:szCs w:val="22"/>
        </w:rPr>
      </w:pPr>
      <w:r w:rsidRPr="006E3297">
        <w:rPr>
          <w:rFonts w:asciiTheme="minorHAnsi" w:hAnsiTheme="minorHAnsi" w:cstheme="minorHAnsi"/>
          <w:b/>
          <w:bCs/>
          <w:sz w:val="22"/>
          <w:szCs w:val="22"/>
        </w:rPr>
        <w:t>2 plazas de Técnicos de Coordinación dentro de la Sala Operativa del 112</w:t>
      </w:r>
      <w:r w:rsidRPr="006E3297">
        <w:rPr>
          <w:rFonts w:asciiTheme="minorHAnsi" w:hAnsiTheme="minorHAnsi" w:cstheme="minorHAnsi"/>
          <w:sz w:val="22"/>
          <w:szCs w:val="22"/>
        </w:rPr>
        <w:t>, derivado de la necesidad de cubrir sin dificultad los turnos de los 365 días del año durante 24 horas del personal de este Consorcio que presta sus servicios en la Central de Coordinación de Emergencias.</w:t>
      </w:r>
    </w:p>
    <w:p w:rsidR="00AB338C" w:rsidRDefault="00AB338C" w:rsidP="00AB338C">
      <w:pPr>
        <w:spacing w:before="120" w:line="300" w:lineRule="auto"/>
        <w:ind w:firstLine="709"/>
        <w:jc w:val="both"/>
        <w:rPr>
          <w:rFonts w:ascii="Calibri" w:hAnsi="Calibri" w:cs="Arial"/>
          <w:bCs/>
          <w:sz w:val="22"/>
          <w:szCs w:val="22"/>
        </w:rPr>
      </w:pPr>
    </w:p>
    <w:p w:rsidR="00AB338C" w:rsidRDefault="00AB338C" w:rsidP="00AB338C">
      <w:pPr>
        <w:spacing w:before="120" w:line="300" w:lineRule="auto"/>
        <w:ind w:firstLine="709"/>
        <w:jc w:val="both"/>
        <w:rPr>
          <w:rFonts w:ascii="Calibri" w:hAnsi="Calibri" w:cs="Arial"/>
          <w:bCs/>
          <w:sz w:val="22"/>
          <w:szCs w:val="22"/>
        </w:rPr>
      </w:pPr>
      <w:r w:rsidRPr="00945464">
        <w:rPr>
          <w:rFonts w:ascii="Calibri" w:hAnsi="Calibri" w:cs="Arial"/>
          <w:bCs/>
          <w:sz w:val="22"/>
          <w:szCs w:val="22"/>
        </w:rPr>
        <w:t>El coste de los servicios extraordinarios de los funcionarios se cifra este año en 1.285.603,84 euros, alcanzando el 8,04% del total de este capítulo (sin tener en cuenta la cuota patronal de la seguridad social correspondiente a estas gratificaciones extraordinarias). Con respecto al ejercicio anterior, este concepto experimenta un</w:t>
      </w:r>
      <w:r w:rsidR="002E41C7">
        <w:rPr>
          <w:rFonts w:ascii="Calibri" w:hAnsi="Calibri" w:cs="Arial"/>
          <w:bCs/>
          <w:sz w:val="22"/>
          <w:szCs w:val="22"/>
        </w:rPr>
        <w:t xml:space="preserve"> </w:t>
      </w:r>
      <w:r w:rsidRPr="00945464">
        <w:rPr>
          <w:rFonts w:ascii="Calibri" w:hAnsi="Calibri" w:cs="Arial"/>
          <w:bCs/>
          <w:sz w:val="22"/>
          <w:szCs w:val="22"/>
        </w:rPr>
        <w:t>aumento del 37,37%.</w:t>
      </w:r>
    </w:p>
    <w:p w:rsidR="00AB338C" w:rsidRDefault="00AB338C" w:rsidP="00AB338C">
      <w:pPr>
        <w:spacing w:before="120" w:line="300" w:lineRule="auto"/>
        <w:ind w:firstLine="709"/>
        <w:jc w:val="both"/>
        <w:rPr>
          <w:rFonts w:ascii="Calibri" w:hAnsi="Calibri" w:cs="Arial"/>
          <w:bCs/>
          <w:sz w:val="22"/>
          <w:szCs w:val="22"/>
        </w:rPr>
      </w:pPr>
      <w:r w:rsidRPr="00230D03">
        <w:rPr>
          <w:rFonts w:ascii="Calibri" w:hAnsi="Calibri" w:cs="Arial"/>
          <w:bCs/>
          <w:sz w:val="22"/>
          <w:szCs w:val="22"/>
        </w:rPr>
        <w:t>El Capítulo I del Presupuesto para 2019 se presenta con un incremento del 4,72%, con respecto a lo presupuestado en el ejercicio 2019, que en términos absolutos se cifra en 720.827,58</w:t>
      </w:r>
      <w:r>
        <w:rPr>
          <w:rFonts w:ascii="Calibri" w:hAnsi="Calibri" w:cs="Arial"/>
          <w:bCs/>
          <w:sz w:val="22"/>
          <w:szCs w:val="22"/>
        </w:rPr>
        <w:t xml:space="preserve"> euros, y se resume en el siguiente cuadro:</w:t>
      </w:r>
    </w:p>
    <w:p w:rsidR="00AB338C" w:rsidRDefault="00AB338C" w:rsidP="00AB338C">
      <w:pPr>
        <w:spacing w:before="120" w:line="300" w:lineRule="auto"/>
        <w:ind w:firstLine="709"/>
        <w:jc w:val="both"/>
        <w:rPr>
          <w:rFonts w:ascii="Calibri" w:hAnsi="Calibri" w:cs="Arial"/>
          <w:bCs/>
          <w:sz w:val="22"/>
          <w:szCs w:val="22"/>
        </w:rPr>
      </w:pPr>
    </w:p>
    <w:tbl>
      <w:tblPr>
        <w:tblW w:w="8745" w:type="dxa"/>
        <w:jc w:val="center"/>
        <w:tblCellMar>
          <w:left w:w="70" w:type="dxa"/>
          <w:right w:w="70" w:type="dxa"/>
        </w:tblCellMar>
        <w:tblLook w:val="04A0"/>
      </w:tblPr>
      <w:tblGrid>
        <w:gridCol w:w="854"/>
        <w:gridCol w:w="4108"/>
        <w:gridCol w:w="992"/>
        <w:gridCol w:w="992"/>
        <w:gridCol w:w="992"/>
        <w:gridCol w:w="807"/>
      </w:tblGrid>
      <w:tr w:rsidR="00AB338C" w:rsidRPr="006A41E4" w:rsidTr="00AB338C">
        <w:trPr>
          <w:trHeight w:val="315"/>
          <w:jc w:val="center"/>
        </w:trPr>
        <w:tc>
          <w:tcPr>
            <w:tcW w:w="85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center"/>
              <w:rPr>
                <w:rFonts w:asciiTheme="minorHAnsi" w:hAnsiTheme="minorHAnsi"/>
                <w:b/>
                <w:bCs/>
                <w:color w:val="000000"/>
                <w:sz w:val="14"/>
                <w:szCs w:val="14"/>
              </w:rPr>
            </w:pPr>
            <w:r w:rsidRPr="006A41E4">
              <w:rPr>
                <w:rFonts w:asciiTheme="minorHAnsi" w:hAnsiTheme="minorHAnsi"/>
                <w:b/>
                <w:bCs/>
                <w:color w:val="000000"/>
                <w:sz w:val="14"/>
                <w:szCs w:val="14"/>
              </w:rPr>
              <w:t>APLICACIÓN</w:t>
            </w:r>
          </w:p>
        </w:tc>
        <w:tc>
          <w:tcPr>
            <w:tcW w:w="4108"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center"/>
              <w:rPr>
                <w:rFonts w:asciiTheme="minorHAnsi" w:hAnsiTheme="minorHAnsi"/>
                <w:b/>
                <w:bCs/>
                <w:color w:val="000000"/>
                <w:sz w:val="14"/>
                <w:szCs w:val="14"/>
              </w:rPr>
            </w:pPr>
            <w:r w:rsidRPr="006A41E4">
              <w:rPr>
                <w:rFonts w:asciiTheme="minorHAnsi" w:hAnsiTheme="minorHAnsi"/>
                <w:b/>
                <w:bCs/>
                <w:color w:val="000000"/>
                <w:sz w:val="14"/>
                <w:szCs w:val="14"/>
              </w:rPr>
              <w:t>CONCEPTO</w:t>
            </w:r>
          </w:p>
        </w:tc>
        <w:tc>
          <w:tcPr>
            <w:tcW w:w="992"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center"/>
              <w:rPr>
                <w:rFonts w:asciiTheme="minorHAnsi" w:hAnsiTheme="minorHAnsi"/>
                <w:b/>
                <w:bCs/>
                <w:color w:val="000000"/>
                <w:sz w:val="14"/>
                <w:szCs w:val="14"/>
              </w:rPr>
            </w:pPr>
            <w:r w:rsidRPr="006A41E4">
              <w:rPr>
                <w:rFonts w:asciiTheme="minorHAnsi" w:hAnsiTheme="minorHAnsi"/>
                <w:b/>
                <w:bCs/>
                <w:color w:val="000000"/>
                <w:sz w:val="14"/>
                <w:szCs w:val="14"/>
              </w:rPr>
              <w:t>2020</w:t>
            </w:r>
          </w:p>
        </w:tc>
        <w:tc>
          <w:tcPr>
            <w:tcW w:w="992"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center"/>
              <w:rPr>
                <w:rFonts w:asciiTheme="minorHAnsi" w:hAnsiTheme="minorHAnsi"/>
                <w:b/>
                <w:bCs/>
                <w:color w:val="000000"/>
                <w:sz w:val="14"/>
                <w:szCs w:val="14"/>
              </w:rPr>
            </w:pPr>
            <w:r w:rsidRPr="006A41E4">
              <w:rPr>
                <w:rFonts w:asciiTheme="minorHAnsi" w:hAnsiTheme="minorHAnsi"/>
                <w:b/>
                <w:bCs/>
                <w:color w:val="000000"/>
                <w:sz w:val="14"/>
                <w:szCs w:val="14"/>
              </w:rPr>
              <w:t>2019</w:t>
            </w:r>
          </w:p>
        </w:tc>
        <w:tc>
          <w:tcPr>
            <w:tcW w:w="992"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center"/>
              <w:rPr>
                <w:rFonts w:asciiTheme="minorHAnsi" w:hAnsiTheme="minorHAnsi"/>
                <w:b/>
                <w:bCs/>
                <w:color w:val="000000"/>
                <w:sz w:val="14"/>
                <w:szCs w:val="14"/>
              </w:rPr>
            </w:pPr>
            <w:r w:rsidRPr="006A41E4">
              <w:rPr>
                <w:rFonts w:asciiTheme="minorHAnsi" w:hAnsiTheme="minorHAnsi"/>
                <w:b/>
                <w:bCs/>
                <w:color w:val="000000"/>
                <w:sz w:val="14"/>
                <w:szCs w:val="14"/>
              </w:rPr>
              <w:t>VARIACIÓN</w:t>
            </w:r>
          </w:p>
        </w:tc>
        <w:tc>
          <w:tcPr>
            <w:tcW w:w="807"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AB338C" w:rsidRDefault="00AB338C" w:rsidP="00AB338C">
            <w:pPr>
              <w:autoSpaceDE/>
              <w:autoSpaceDN/>
              <w:jc w:val="center"/>
              <w:rPr>
                <w:rFonts w:asciiTheme="minorHAnsi" w:hAnsiTheme="minorHAnsi"/>
                <w:b/>
                <w:bCs/>
                <w:color w:val="000000"/>
                <w:sz w:val="14"/>
                <w:szCs w:val="14"/>
              </w:rPr>
            </w:pPr>
            <w:r w:rsidRPr="006A41E4">
              <w:rPr>
                <w:rFonts w:asciiTheme="minorHAnsi" w:hAnsiTheme="minorHAnsi"/>
                <w:b/>
                <w:bCs/>
                <w:color w:val="000000"/>
                <w:sz w:val="14"/>
                <w:szCs w:val="14"/>
              </w:rPr>
              <w:t xml:space="preserve">% </w:t>
            </w:r>
          </w:p>
          <w:p w:rsidR="00AB338C" w:rsidRPr="006A41E4" w:rsidRDefault="00AB338C" w:rsidP="00AB338C">
            <w:pPr>
              <w:autoSpaceDE/>
              <w:autoSpaceDN/>
              <w:jc w:val="center"/>
              <w:rPr>
                <w:rFonts w:asciiTheme="minorHAnsi" w:hAnsiTheme="minorHAnsi"/>
                <w:b/>
                <w:bCs/>
                <w:color w:val="000000"/>
                <w:sz w:val="14"/>
                <w:szCs w:val="14"/>
              </w:rPr>
            </w:pPr>
            <w:r w:rsidRPr="006A41E4">
              <w:rPr>
                <w:rFonts w:asciiTheme="minorHAnsi" w:hAnsiTheme="minorHAnsi"/>
                <w:b/>
                <w:bCs/>
                <w:color w:val="000000"/>
                <w:sz w:val="14"/>
                <w:szCs w:val="14"/>
              </w:rPr>
              <w:t>VARIACIÓN</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101</w:t>
            </w:r>
          </w:p>
        </w:tc>
        <w:tc>
          <w:tcPr>
            <w:tcW w:w="4108"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PERSONAL DIRECTIVO. RETRIBUCIONES BÁSICAS Y OTRAS REMUNERACIONES</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70.000,00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70.000,00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000000"/>
                <w:sz w:val="14"/>
                <w:szCs w:val="14"/>
              </w:rPr>
            </w:pPr>
            <w:r w:rsidRPr="006A41E4">
              <w:rPr>
                <w:rFonts w:asciiTheme="minorHAnsi" w:hAnsiTheme="minorHAnsi" w:cs="Calibri"/>
                <w:color w:val="000000"/>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12</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PERSONAL FUNCIONARIO. RESTO RETRIBUCIONES</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9.076.967,48</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8.838.304,06</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238.663,42</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000000"/>
                <w:sz w:val="14"/>
                <w:szCs w:val="14"/>
              </w:rPr>
            </w:pPr>
            <w:r w:rsidRPr="006A41E4">
              <w:rPr>
                <w:rFonts w:asciiTheme="minorHAnsi" w:hAnsiTheme="minorHAnsi" w:cs="Calibri"/>
                <w:color w:val="000000"/>
                <w:sz w:val="14"/>
                <w:szCs w:val="14"/>
              </w:rPr>
              <w:t>2,70%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12006</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PERSONAL FUNCIONARIO. TRIENIOS</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305.689,66</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293.678,13</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12.011,53</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000000"/>
                <w:sz w:val="14"/>
                <w:szCs w:val="14"/>
              </w:rPr>
            </w:pPr>
            <w:r w:rsidRPr="006A41E4">
              <w:rPr>
                <w:rFonts w:asciiTheme="minorHAnsi" w:hAnsiTheme="minorHAnsi" w:cs="Calibri"/>
                <w:color w:val="000000"/>
                <w:sz w:val="14"/>
                <w:szCs w:val="14"/>
              </w:rPr>
              <w:t>4,09%</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13</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PERSONAL LABORAL. ANTIGUEDAD</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46.929,35</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46.921,99</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7,36</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000000"/>
                <w:sz w:val="14"/>
                <w:szCs w:val="14"/>
              </w:rPr>
            </w:pPr>
            <w:r w:rsidRPr="006A41E4">
              <w:rPr>
                <w:rFonts w:asciiTheme="minorHAnsi" w:hAnsiTheme="minorHAnsi" w:cs="Calibri"/>
                <w:color w:val="000000"/>
                <w:sz w:val="14"/>
                <w:szCs w:val="14"/>
              </w:rPr>
              <w:t>0,02%</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13</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PERSONAL LABORAL. RESTO RETRIBUCIONES</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597.534,10</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580.509,96</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17.024,14</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000000"/>
                <w:sz w:val="14"/>
                <w:szCs w:val="14"/>
              </w:rPr>
            </w:pPr>
            <w:r w:rsidRPr="006A41E4">
              <w:rPr>
                <w:rFonts w:asciiTheme="minorHAnsi" w:hAnsiTheme="minorHAnsi" w:cs="Calibri"/>
                <w:color w:val="000000"/>
                <w:sz w:val="14"/>
                <w:szCs w:val="14"/>
              </w:rPr>
              <w:t>2,93%</w:t>
            </w:r>
          </w:p>
        </w:tc>
      </w:tr>
      <w:tr w:rsidR="00AB338C" w:rsidRPr="006A41E4" w:rsidTr="00AB338C">
        <w:trPr>
          <w:trHeight w:val="315"/>
          <w:jc w:val="center"/>
        </w:trPr>
        <w:tc>
          <w:tcPr>
            <w:tcW w:w="854" w:type="dxa"/>
            <w:tcBorders>
              <w:top w:val="nil"/>
              <w:left w:val="single" w:sz="8" w:space="0" w:color="auto"/>
              <w:bottom w:val="single" w:sz="4"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lastRenderedPageBreak/>
              <w:t>150</w:t>
            </w:r>
          </w:p>
        </w:tc>
        <w:tc>
          <w:tcPr>
            <w:tcW w:w="4108" w:type="dxa"/>
            <w:tcBorders>
              <w:top w:val="nil"/>
              <w:left w:val="nil"/>
              <w:bottom w:val="single" w:sz="4"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PRODUCTIVIDAD</w:t>
            </w:r>
          </w:p>
        </w:tc>
        <w:tc>
          <w:tcPr>
            <w:tcW w:w="992" w:type="dxa"/>
            <w:tcBorders>
              <w:top w:val="nil"/>
              <w:left w:val="nil"/>
              <w:bottom w:val="single" w:sz="4"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461.796,54</w:t>
            </w:r>
          </w:p>
        </w:tc>
        <w:tc>
          <w:tcPr>
            <w:tcW w:w="992" w:type="dxa"/>
            <w:tcBorders>
              <w:top w:val="nil"/>
              <w:left w:val="nil"/>
              <w:bottom w:val="single" w:sz="4"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477.500,71</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FF0000"/>
                <w:sz w:val="14"/>
                <w:szCs w:val="14"/>
              </w:rPr>
            </w:pPr>
            <w:r w:rsidRPr="006A41E4">
              <w:rPr>
                <w:rFonts w:asciiTheme="minorHAnsi" w:hAnsiTheme="minorHAnsi" w:cs="Calibri"/>
                <w:color w:val="FF0000"/>
                <w:sz w:val="14"/>
                <w:szCs w:val="14"/>
              </w:rPr>
              <w:t>-15.704,17</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FF0000"/>
                <w:sz w:val="14"/>
                <w:szCs w:val="14"/>
              </w:rPr>
            </w:pPr>
            <w:r w:rsidRPr="006A41E4">
              <w:rPr>
                <w:rFonts w:asciiTheme="minorHAnsi" w:hAnsiTheme="minorHAnsi"/>
                <w:color w:val="FF0000"/>
                <w:sz w:val="14"/>
                <w:szCs w:val="14"/>
              </w:rPr>
              <w:t>-3,29%</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i/>
                <w:iCs/>
                <w:color w:val="000000"/>
                <w:sz w:val="14"/>
                <w:szCs w:val="14"/>
              </w:rPr>
            </w:pPr>
            <w:r w:rsidRPr="006A41E4">
              <w:rPr>
                <w:rFonts w:asciiTheme="minorHAnsi" w:hAnsiTheme="minorHAnsi"/>
                <w:i/>
                <w:iCs/>
                <w:color w:val="000000"/>
                <w:sz w:val="14"/>
                <w:szCs w:val="14"/>
              </w:rPr>
              <w:t>15000</w:t>
            </w:r>
          </w:p>
        </w:tc>
        <w:tc>
          <w:tcPr>
            <w:tcW w:w="4108" w:type="dxa"/>
            <w:tcBorders>
              <w:top w:val="nil"/>
              <w:left w:val="nil"/>
              <w:bottom w:val="single" w:sz="8" w:space="0" w:color="auto"/>
              <w:right w:val="single" w:sz="8" w:space="0" w:color="000000"/>
            </w:tcBorders>
            <w:shd w:val="clear" w:color="auto" w:fill="auto"/>
            <w:noWrap/>
            <w:vAlign w:val="center"/>
            <w:hideMark/>
          </w:tcPr>
          <w:p w:rsidR="00AB338C" w:rsidRPr="006A41E4" w:rsidRDefault="00AB338C" w:rsidP="00AB338C">
            <w:pPr>
              <w:autoSpaceDE/>
              <w:autoSpaceDN/>
              <w:jc w:val="right"/>
              <w:rPr>
                <w:rFonts w:asciiTheme="minorHAnsi" w:hAnsiTheme="minorHAnsi"/>
                <w:i/>
                <w:iCs/>
                <w:color w:val="000000"/>
                <w:sz w:val="14"/>
                <w:szCs w:val="14"/>
              </w:rPr>
            </w:pPr>
            <w:r w:rsidRPr="006A41E4">
              <w:rPr>
                <w:rFonts w:asciiTheme="minorHAnsi" w:hAnsiTheme="minorHAnsi"/>
                <w:i/>
                <w:iCs/>
                <w:color w:val="000000"/>
                <w:sz w:val="14"/>
                <w:szCs w:val="14"/>
              </w:rPr>
              <w:t xml:space="preserve">Productividad funcionarios  </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i/>
                <w:iCs/>
                <w:color w:val="000000"/>
                <w:sz w:val="14"/>
                <w:szCs w:val="14"/>
              </w:rPr>
            </w:pPr>
            <w:r w:rsidRPr="006A41E4">
              <w:rPr>
                <w:rFonts w:asciiTheme="minorHAnsi" w:hAnsiTheme="minorHAnsi" w:cs="Calibri"/>
                <w:i/>
                <w:iCs/>
                <w:color w:val="000000"/>
                <w:sz w:val="14"/>
                <w:szCs w:val="14"/>
              </w:rPr>
              <w:t>348.934,56</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i/>
                <w:iCs/>
                <w:color w:val="000000"/>
                <w:sz w:val="14"/>
                <w:szCs w:val="14"/>
              </w:rPr>
            </w:pPr>
            <w:r w:rsidRPr="006A41E4">
              <w:rPr>
                <w:rFonts w:asciiTheme="minorHAnsi" w:hAnsiTheme="minorHAnsi" w:cs="Calibri"/>
                <w:i/>
                <w:iCs/>
                <w:color w:val="000000"/>
                <w:sz w:val="14"/>
                <w:szCs w:val="14"/>
              </w:rPr>
              <w:t>361.045,62</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FF0000"/>
                <w:sz w:val="14"/>
                <w:szCs w:val="14"/>
              </w:rPr>
            </w:pPr>
            <w:r w:rsidRPr="006A41E4">
              <w:rPr>
                <w:rFonts w:asciiTheme="minorHAnsi" w:hAnsiTheme="minorHAnsi" w:cs="Calibri"/>
                <w:color w:val="FF0000"/>
                <w:sz w:val="14"/>
                <w:szCs w:val="14"/>
              </w:rPr>
              <w:t>-12.111,06</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FF0000"/>
                <w:sz w:val="14"/>
                <w:szCs w:val="14"/>
              </w:rPr>
            </w:pPr>
            <w:r w:rsidRPr="006A41E4">
              <w:rPr>
                <w:rFonts w:asciiTheme="minorHAnsi" w:hAnsiTheme="minorHAnsi" w:cs="Calibri"/>
                <w:color w:val="FF0000"/>
                <w:sz w:val="14"/>
                <w:szCs w:val="14"/>
              </w:rPr>
              <w:t>-3,35%</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i/>
                <w:iCs/>
                <w:color w:val="000000"/>
                <w:sz w:val="14"/>
                <w:szCs w:val="14"/>
              </w:rPr>
            </w:pPr>
            <w:r w:rsidRPr="006A41E4">
              <w:rPr>
                <w:rFonts w:asciiTheme="minorHAnsi" w:hAnsiTheme="minorHAnsi"/>
                <w:i/>
                <w:iCs/>
                <w:color w:val="000000"/>
                <w:sz w:val="14"/>
                <w:szCs w:val="14"/>
              </w:rPr>
              <w:t>15001</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jc w:val="right"/>
              <w:rPr>
                <w:rFonts w:asciiTheme="minorHAnsi" w:hAnsiTheme="minorHAnsi"/>
                <w:i/>
                <w:iCs/>
                <w:color w:val="000000"/>
                <w:sz w:val="14"/>
                <w:szCs w:val="14"/>
              </w:rPr>
            </w:pPr>
            <w:r w:rsidRPr="006A41E4">
              <w:rPr>
                <w:rFonts w:asciiTheme="minorHAnsi" w:hAnsiTheme="minorHAnsi"/>
                <w:i/>
                <w:iCs/>
                <w:color w:val="000000"/>
                <w:sz w:val="14"/>
                <w:szCs w:val="14"/>
              </w:rPr>
              <w:t>Productividad laborales(incluidos 10.000€ puesto de Gerente)</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i/>
                <w:iCs/>
                <w:color w:val="000000"/>
                <w:sz w:val="14"/>
                <w:szCs w:val="14"/>
              </w:rPr>
            </w:pPr>
            <w:r w:rsidRPr="006A41E4">
              <w:rPr>
                <w:rFonts w:asciiTheme="minorHAnsi" w:hAnsiTheme="minorHAnsi" w:cs="Calibri"/>
                <w:i/>
                <w:iCs/>
                <w:color w:val="000000"/>
                <w:sz w:val="14"/>
                <w:szCs w:val="14"/>
              </w:rPr>
              <w:t>112.861,98</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i/>
                <w:iCs/>
                <w:color w:val="000000"/>
                <w:sz w:val="14"/>
                <w:szCs w:val="14"/>
              </w:rPr>
            </w:pPr>
            <w:r w:rsidRPr="006A41E4">
              <w:rPr>
                <w:rFonts w:asciiTheme="minorHAnsi" w:hAnsiTheme="minorHAnsi" w:cs="Calibri"/>
                <w:i/>
                <w:iCs/>
                <w:color w:val="000000"/>
                <w:sz w:val="14"/>
                <w:szCs w:val="14"/>
              </w:rPr>
              <w:t>116.455,09</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FF0000"/>
                <w:sz w:val="14"/>
                <w:szCs w:val="14"/>
              </w:rPr>
            </w:pPr>
            <w:r w:rsidRPr="006A41E4">
              <w:rPr>
                <w:rFonts w:asciiTheme="minorHAnsi" w:hAnsiTheme="minorHAnsi" w:cs="Calibri"/>
                <w:color w:val="FF0000"/>
                <w:sz w:val="14"/>
                <w:szCs w:val="14"/>
              </w:rPr>
              <w:t>-3.593,11</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FF0000"/>
                <w:sz w:val="14"/>
                <w:szCs w:val="14"/>
              </w:rPr>
            </w:pPr>
            <w:r w:rsidRPr="006A41E4">
              <w:rPr>
                <w:rFonts w:asciiTheme="minorHAnsi" w:hAnsiTheme="minorHAnsi" w:cs="Calibri"/>
                <w:color w:val="FF0000"/>
                <w:sz w:val="14"/>
                <w:szCs w:val="14"/>
              </w:rPr>
              <w:t>-3,09%</w:t>
            </w:r>
          </w:p>
        </w:tc>
      </w:tr>
      <w:tr w:rsidR="00AB338C" w:rsidRPr="006A41E4" w:rsidTr="00AB338C">
        <w:trPr>
          <w:trHeight w:val="315"/>
          <w:jc w:val="center"/>
        </w:trPr>
        <w:tc>
          <w:tcPr>
            <w:tcW w:w="854" w:type="dxa"/>
            <w:tcBorders>
              <w:top w:val="nil"/>
              <w:left w:val="single" w:sz="8" w:space="0" w:color="auto"/>
              <w:bottom w:val="nil"/>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15100</w:t>
            </w:r>
          </w:p>
        </w:tc>
        <w:tc>
          <w:tcPr>
            <w:tcW w:w="4108" w:type="dxa"/>
            <w:tcBorders>
              <w:top w:val="nil"/>
              <w:left w:val="nil"/>
              <w:bottom w:val="nil"/>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GRATIFICACIONES FUNCIONARIOS (SERVICIOS EXTRAORDINARIOS)</w:t>
            </w:r>
          </w:p>
        </w:tc>
        <w:tc>
          <w:tcPr>
            <w:tcW w:w="992" w:type="dxa"/>
            <w:tcBorders>
              <w:top w:val="nil"/>
              <w:left w:val="nil"/>
              <w:bottom w:val="nil"/>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1.265.603,84</w:t>
            </w:r>
          </w:p>
        </w:tc>
        <w:tc>
          <w:tcPr>
            <w:tcW w:w="992" w:type="dxa"/>
            <w:tcBorders>
              <w:top w:val="nil"/>
              <w:left w:val="nil"/>
              <w:bottom w:val="nil"/>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921.303,44</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olor w:val="000000"/>
                <w:sz w:val="14"/>
                <w:szCs w:val="14"/>
              </w:rPr>
              <w:t>344.300,40</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000000"/>
                <w:sz w:val="14"/>
                <w:szCs w:val="14"/>
              </w:rPr>
            </w:pPr>
            <w:r w:rsidRPr="006A41E4">
              <w:rPr>
                <w:rFonts w:asciiTheme="minorHAnsi" w:hAnsiTheme="minorHAnsi"/>
                <w:color w:val="000000"/>
                <w:sz w:val="14"/>
                <w:szCs w:val="14"/>
              </w:rPr>
              <w:t>37,37%</w:t>
            </w:r>
          </w:p>
        </w:tc>
      </w:tr>
      <w:tr w:rsidR="00AB338C" w:rsidRPr="006A41E4" w:rsidTr="00AB338C">
        <w:trPr>
          <w:trHeight w:val="315"/>
          <w:jc w:val="center"/>
        </w:trPr>
        <w:tc>
          <w:tcPr>
            <w:tcW w:w="85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13001</w:t>
            </w:r>
          </w:p>
        </w:tc>
        <w:tc>
          <w:tcPr>
            <w:tcW w:w="4108" w:type="dxa"/>
            <w:tcBorders>
              <w:top w:val="single" w:sz="4" w:space="0" w:color="auto"/>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GRATIFICACIONES LABORALES (SERVICIOS EXTRAORDINARIOS)</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20.000,00</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20.000,00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000000"/>
                <w:sz w:val="14"/>
                <w:szCs w:val="14"/>
              </w:rPr>
            </w:pPr>
            <w:r w:rsidRPr="006A41E4">
              <w:rPr>
                <w:rFonts w:asciiTheme="minorHAnsi" w:hAnsiTheme="minorHAnsi" w:cs="Calibri"/>
                <w:color w:val="000000"/>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16000</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SEGURIDAD SOCIAL</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3.579.533,63</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3.455.008,73</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124.524,90</w:t>
            </w:r>
          </w:p>
        </w:tc>
        <w:tc>
          <w:tcPr>
            <w:tcW w:w="807"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color w:val="000000"/>
                <w:sz w:val="14"/>
                <w:szCs w:val="14"/>
              </w:rPr>
            </w:pPr>
            <w:r w:rsidRPr="006A41E4">
              <w:rPr>
                <w:rFonts w:asciiTheme="minorHAnsi" w:hAnsiTheme="minorHAnsi"/>
                <w:color w:val="000000"/>
                <w:sz w:val="14"/>
                <w:szCs w:val="14"/>
              </w:rPr>
              <w:t>3,60%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16008</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ASISTENCIA MÉDICO-FARMACÉUTICA</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39.200,00</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39.200,00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single" w:sz="4" w:space="0" w:color="auto"/>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sz w:val="14"/>
                <w:szCs w:val="14"/>
              </w:rPr>
            </w:pPr>
            <w:r w:rsidRPr="006A41E4">
              <w:rPr>
                <w:rFonts w:asciiTheme="minorHAnsi" w:hAnsiTheme="minorHAnsi" w:cs="Calibri"/>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16104</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PLAN ESPECÍFICO DE INCENTIVOS A LA JUBILACIÓN ANTICIPADA</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165.000,00</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165.000,00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single" w:sz="4" w:space="0" w:color="auto"/>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sz w:val="14"/>
                <w:szCs w:val="14"/>
              </w:rPr>
            </w:pPr>
            <w:r w:rsidRPr="006A41E4">
              <w:rPr>
                <w:rFonts w:asciiTheme="minorHAnsi" w:hAnsiTheme="minorHAnsi" w:cs="Calibri"/>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16200</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FORMACIÓN Y PERFECCIONAMIENTO DEL PERSONAL</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21.600,00</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21.600,00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single" w:sz="4" w:space="0" w:color="auto"/>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sz w:val="14"/>
                <w:szCs w:val="14"/>
              </w:rPr>
            </w:pPr>
            <w:r w:rsidRPr="006A41E4">
              <w:rPr>
                <w:rFonts w:asciiTheme="minorHAnsi" w:hAnsiTheme="minorHAnsi" w:cs="Calibri"/>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16204</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ACCIÓN SOCIAL (AYUDAS DE ESTUDIO)</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77.000,00</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77.000,00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single" w:sz="4" w:space="0" w:color="auto"/>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sz w:val="14"/>
                <w:szCs w:val="14"/>
              </w:rPr>
            </w:pPr>
            <w:r w:rsidRPr="006A41E4">
              <w:rPr>
                <w:rFonts w:asciiTheme="minorHAnsi" w:hAnsiTheme="minorHAnsi" w:cs="Calibri"/>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16205</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SEGUROS PERSONAL</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243.150,00</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243.150,00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single" w:sz="4" w:space="0" w:color="auto"/>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sz w:val="14"/>
                <w:szCs w:val="14"/>
              </w:rPr>
            </w:pPr>
            <w:r w:rsidRPr="006A41E4">
              <w:rPr>
                <w:rFonts w:asciiTheme="minorHAnsi" w:hAnsiTheme="minorHAnsi" w:cs="Calibri"/>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16209</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OTROS GASTOS SOCIALES</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21.650,00</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21.650,00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single" w:sz="4" w:space="0" w:color="auto"/>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sz w:val="14"/>
                <w:szCs w:val="14"/>
              </w:rPr>
            </w:pPr>
            <w:r w:rsidRPr="006A41E4">
              <w:rPr>
                <w:rFonts w:asciiTheme="minorHAnsi" w:hAnsiTheme="minorHAnsi" w:cs="Calibri"/>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16400</w:t>
            </w:r>
          </w:p>
        </w:tc>
        <w:tc>
          <w:tcPr>
            <w:tcW w:w="4108" w:type="dxa"/>
            <w:tcBorders>
              <w:top w:val="nil"/>
              <w:left w:val="nil"/>
              <w:bottom w:val="single" w:sz="8" w:space="0" w:color="auto"/>
              <w:right w:val="single" w:sz="8" w:space="0" w:color="000000"/>
            </w:tcBorders>
            <w:shd w:val="clear" w:color="000000" w:fill="FFFFFF"/>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AYUDAS POR MINUSVALÍAS</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3.000,00</w:t>
            </w:r>
          </w:p>
        </w:tc>
        <w:tc>
          <w:tcPr>
            <w:tcW w:w="992" w:type="dxa"/>
            <w:tcBorders>
              <w:top w:val="nil"/>
              <w:left w:val="nil"/>
              <w:bottom w:val="single" w:sz="8" w:space="0" w:color="auto"/>
              <w:right w:val="single" w:sz="8" w:space="0" w:color="auto"/>
            </w:tcBorders>
            <w:shd w:val="clear" w:color="000000" w:fill="FFFFFF"/>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cs="Calibri"/>
                <w:b/>
                <w:bCs/>
                <w:color w:val="000000"/>
                <w:sz w:val="14"/>
                <w:szCs w:val="14"/>
              </w:rPr>
              <w:t>3.000,00</w:t>
            </w:r>
          </w:p>
        </w:tc>
        <w:tc>
          <w:tcPr>
            <w:tcW w:w="992" w:type="dxa"/>
            <w:tcBorders>
              <w:top w:val="nil"/>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right"/>
              <w:rPr>
                <w:rFonts w:asciiTheme="minorHAnsi" w:hAnsiTheme="minorHAnsi"/>
                <w:color w:val="000000"/>
                <w:sz w:val="14"/>
                <w:szCs w:val="14"/>
              </w:rPr>
            </w:pPr>
            <w:r w:rsidRPr="006A41E4">
              <w:rPr>
                <w:rFonts w:asciiTheme="minorHAnsi" w:hAnsiTheme="minorHAnsi" w:cs="Calibri"/>
                <w:color w:val="000000"/>
                <w:sz w:val="14"/>
                <w:szCs w:val="14"/>
              </w:rPr>
              <w:t>0,00</w:t>
            </w:r>
          </w:p>
        </w:tc>
        <w:tc>
          <w:tcPr>
            <w:tcW w:w="807" w:type="dxa"/>
            <w:tcBorders>
              <w:top w:val="single" w:sz="4" w:space="0" w:color="auto"/>
              <w:left w:val="nil"/>
              <w:bottom w:val="single" w:sz="8" w:space="0" w:color="auto"/>
              <w:right w:val="single" w:sz="8" w:space="0" w:color="auto"/>
            </w:tcBorders>
            <w:shd w:val="clear" w:color="auto" w:fill="auto"/>
            <w:noWrap/>
            <w:vAlign w:val="center"/>
            <w:hideMark/>
          </w:tcPr>
          <w:p w:rsidR="00AB338C" w:rsidRPr="006A41E4" w:rsidRDefault="00AB338C" w:rsidP="00AB338C">
            <w:pPr>
              <w:autoSpaceDE/>
              <w:autoSpaceDN/>
              <w:jc w:val="center"/>
              <w:rPr>
                <w:rFonts w:asciiTheme="minorHAnsi" w:hAnsiTheme="minorHAnsi"/>
                <w:sz w:val="14"/>
                <w:szCs w:val="14"/>
              </w:rPr>
            </w:pPr>
            <w:r w:rsidRPr="006A41E4">
              <w:rPr>
                <w:rFonts w:asciiTheme="minorHAnsi" w:hAnsiTheme="minorHAnsi" w:cs="Calibri"/>
                <w:sz w:val="14"/>
                <w:szCs w:val="14"/>
              </w:rPr>
              <w:t>0,00%</w:t>
            </w:r>
          </w:p>
        </w:tc>
      </w:tr>
      <w:tr w:rsidR="00AB338C" w:rsidRPr="006A41E4" w:rsidTr="00AB338C">
        <w:trPr>
          <w:trHeight w:val="315"/>
          <w:jc w:val="center"/>
        </w:trPr>
        <w:tc>
          <w:tcPr>
            <w:tcW w:w="854"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 </w:t>
            </w:r>
          </w:p>
        </w:tc>
        <w:tc>
          <w:tcPr>
            <w:tcW w:w="4108" w:type="dxa"/>
            <w:tcBorders>
              <w:top w:val="nil"/>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rPr>
                <w:rFonts w:asciiTheme="minorHAnsi" w:hAnsiTheme="minorHAnsi"/>
                <w:b/>
                <w:bCs/>
                <w:color w:val="000000"/>
                <w:sz w:val="14"/>
                <w:szCs w:val="14"/>
              </w:rPr>
            </w:pPr>
            <w:r w:rsidRPr="006A41E4">
              <w:rPr>
                <w:rFonts w:asciiTheme="minorHAnsi" w:hAnsiTheme="minorHAnsi"/>
                <w:b/>
                <w:bCs/>
                <w:color w:val="000000"/>
                <w:sz w:val="14"/>
                <w:szCs w:val="14"/>
              </w:rPr>
              <w:t>TOTAL</w:t>
            </w:r>
          </w:p>
        </w:tc>
        <w:tc>
          <w:tcPr>
            <w:tcW w:w="992" w:type="dxa"/>
            <w:tcBorders>
              <w:top w:val="nil"/>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15.994.654,60</w:t>
            </w:r>
          </w:p>
        </w:tc>
        <w:tc>
          <w:tcPr>
            <w:tcW w:w="992" w:type="dxa"/>
            <w:tcBorders>
              <w:top w:val="nil"/>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15.273.827,02</w:t>
            </w:r>
          </w:p>
        </w:tc>
        <w:tc>
          <w:tcPr>
            <w:tcW w:w="992" w:type="dxa"/>
            <w:tcBorders>
              <w:top w:val="nil"/>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right"/>
              <w:rPr>
                <w:rFonts w:asciiTheme="minorHAnsi" w:hAnsiTheme="minorHAnsi"/>
                <w:b/>
                <w:bCs/>
                <w:color w:val="000000"/>
                <w:sz w:val="14"/>
                <w:szCs w:val="14"/>
              </w:rPr>
            </w:pPr>
            <w:r w:rsidRPr="006A41E4">
              <w:rPr>
                <w:rFonts w:asciiTheme="minorHAnsi" w:hAnsiTheme="minorHAnsi"/>
                <w:b/>
                <w:bCs/>
                <w:color w:val="000000"/>
                <w:sz w:val="14"/>
                <w:szCs w:val="14"/>
              </w:rPr>
              <w:t>720.827,58</w:t>
            </w:r>
          </w:p>
        </w:tc>
        <w:tc>
          <w:tcPr>
            <w:tcW w:w="807" w:type="dxa"/>
            <w:tcBorders>
              <w:top w:val="nil"/>
              <w:left w:val="nil"/>
              <w:bottom w:val="single" w:sz="8" w:space="0" w:color="auto"/>
              <w:right w:val="single" w:sz="8" w:space="0" w:color="auto"/>
            </w:tcBorders>
            <w:shd w:val="clear" w:color="auto" w:fill="DBE5F1" w:themeFill="accent1" w:themeFillTint="33"/>
            <w:noWrap/>
            <w:vAlign w:val="center"/>
            <w:hideMark/>
          </w:tcPr>
          <w:p w:rsidR="00AB338C" w:rsidRPr="006A41E4" w:rsidRDefault="00AB338C" w:rsidP="00AB338C">
            <w:pPr>
              <w:autoSpaceDE/>
              <w:autoSpaceDN/>
              <w:jc w:val="center"/>
              <w:rPr>
                <w:rFonts w:asciiTheme="minorHAnsi" w:hAnsiTheme="minorHAnsi"/>
                <w:b/>
                <w:bCs/>
                <w:color w:val="000000"/>
                <w:sz w:val="14"/>
                <w:szCs w:val="14"/>
              </w:rPr>
            </w:pPr>
            <w:r w:rsidRPr="006A41E4">
              <w:rPr>
                <w:rFonts w:asciiTheme="minorHAnsi" w:hAnsiTheme="minorHAnsi" w:cs="Calibri"/>
                <w:b/>
                <w:bCs/>
                <w:color w:val="000000"/>
                <w:sz w:val="14"/>
                <w:szCs w:val="14"/>
              </w:rPr>
              <w:t>4,72%</w:t>
            </w:r>
          </w:p>
        </w:tc>
      </w:tr>
    </w:tbl>
    <w:p w:rsidR="00AB338C" w:rsidRPr="00230D03" w:rsidRDefault="00AB338C" w:rsidP="00AB338C">
      <w:pPr>
        <w:spacing w:before="120" w:line="300" w:lineRule="auto"/>
        <w:ind w:firstLine="709"/>
        <w:jc w:val="both"/>
        <w:rPr>
          <w:rFonts w:ascii="Calibri" w:hAnsi="Calibri" w:cs="Arial"/>
          <w:bCs/>
          <w:sz w:val="22"/>
          <w:szCs w:val="22"/>
        </w:rPr>
      </w:pPr>
    </w:p>
    <w:p w:rsidR="00AB338C" w:rsidRPr="004123B5" w:rsidRDefault="00AB338C" w:rsidP="00AB338C">
      <w:pPr>
        <w:pStyle w:val="Prrafodelista"/>
        <w:numPr>
          <w:ilvl w:val="0"/>
          <w:numId w:val="1"/>
        </w:numPr>
        <w:spacing w:before="120" w:line="300" w:lineRule="auto"/>
        <w:ind w:left="1077" w:hanging="357"/>
        <w:jc w:val="both"/>
        <w:rPr>
          <w:rFonts w:ascii="Calibri" w:hAnsi="Calibri"/>
          <w:b/>
          <w:bCs/>
          <w:sz w:val="24"/>
          <w:szCs w:val="24"/>
        </w:rPr>
      </w:pPr>
      <w:r w:rsidRPr="004123B5">
        <w:rPr>
          <w:rFonts w:ascii="Calibri" w:hAnsi="Calibri" w:cs="Arial"/>
          <w:b/>
          <w:bCs/>
          <w:i/>
          <w:sz w:val="22"/>
          <w:szCs w:val="22"/>
        </w:rPr>
        <w:t>Capítulo II</w:t>
      </w:r>
      <w:r w:rsidRPr="004123B5">
        <w:rPr>
          <w:rFonts w:ascii="Calibri" w:hAnsi="Calibri" w:cs="Arial"/>
          <w:bCs/>
          <w:i/>
          <w:sz w:val="22"/>
          <w:szCs w:val="22"/>
        </w:rPr>
        <w:t xml:space="preserve">, </w:t>
      </w:r>
      <w:r w:rsidRPr="004123B5">
        <w:rPr>
          <w:rFonts w:ascii="Calibri" w:hAnsi="Calibri" w:cs="Arial"/>
          <w:b/>
          <w:bCs/>
          <w:i/>
          <w:sz w:val="22"/>
          <w:szCs w:val="22"/>
        </w:rPr>
        <w:t>Gastos corrientes en bienes y servicios</w:t>
      </w:r>
    </w:p>
    <w:p w:rsidR="00AB338C" w:rsidRDefault="00AB338C" w:rsidP="00AB338C">
      <w:pPr>
        <w:spacing w:before="120" w:line="300" w:lineRule="auto"/>
        <w:ind w:firstLine="709"/>
        <w:jc w:val="both"/>
        <w:rPr>
          <w:rFonts w:ascii="Calibri" w:hAnsi="Calibri" w:cs="Arial"/>
          <w:bCs/>
          <w:sz w:val="22"/>
          <w:szCs w:val="22"/>
        </w:rPr>
      </w:pPr>
      <w:r w:rsidRPr="004123B5">
        <w:rPr>
          <w:rFonts w:ascii="Calibri" w:hAnsi="Calibri" w:cs="Arial"/>
          <w:bCs/>
          <w:sz w:val="22"/>
          <w:szCs w:val="22"/>
        </w:rPr>
        <w:t>El capítulo II del Presupuesto para 20</w:t>
      </w:r>
      <w:r>
        <w:rPr>
          <w:rFonts w:ascii="Calibri" w:hAnsi="Calibri" w:cs="Arial"/>
          <w:bCs/>
          <w:sz w:val="22"/>
          <w:szCs w:val="22"/>
        </w:rPr>
        <w:t>20</w:t>
      </w:r>
      <w:r w:rsidRPr="004123B5">
        <w:rPr>
          <w:rFonts w:ascii="Calibri" w:hAnsi="Calibri" w:cs="Arial"/>
          <w:bCs/>
          <w:sz w:val="22"/>
          <w:szCs w:val="22"/>
        </w:rPr>
        <w:t xml:space="preserve">asciende a la cantidad de </w:t>
      </w:r>
      <w:r w:rsidRPr="004123B5">
        <w:rPr>
          <w:rFonts w:ascii="Calibri" w:hAnsi="Calibri" w:cs="Arial"/>
          <w:b/>
          <w:bCs/>
          <w:sz w:val="22"/>
          <w:szCs w:val="22"/>
        </w:rPr>
        <w:t>1.</w:t>
      </w:r>
      <w:r>
        <w:rPr>
          <w:rFonts w:ascii="Calibri" w:hAnsi="Calibri" w:cs="Arial"/>
          <w:b/>
          <w:bCs/>
          <w:sz w:val="22"/>
          <w:szCs w:val="22"/>
        </w:rPr>
        <w:t>609.265,00</w:t>
      </w:r>
      <w:r w:rsidRPr="004123B5">
        <w:rPr>
          <w:rFonts w:ascii="Calibri" w:hAnsi="Calibri" w:cs="Arial"/>
          <w:b/>
          <w:bCs/>
          <w:sz w:val="22"/>
          <w:szCs w:val="22"/>
        </w:rPr>
        <w:t>euros</w:t>
      </w:r>
      <w:r w:rsidRPr="004123B5">
        <w:rPr>
          <w:rFonts w:ascii="Calibri" w:hAnsi="Calibri" w:cs="Arial"/>
          <w:bCs/>
          <w:sz w:val="22"/>
          <w:szCs w:val="22"/>
        </w:rPr>
        <w:t xml:space="preserve"> y supone el </w:t>
      </w:r>
      <w:r>
        <w:rPr>
          <w:rFonts w:ascii="Calibri" w:hAnsi="Calibri" w:cs="Arial"/>
          <w:b/>
          <w:bCs/>
          <w:sz w:val="22"/>
          <w:szCs w:val="22"/>
        </w:rPr>
        <w:t>8,12</w:t>
      </w:r>
      <w:r w:rsidRPr="004123B5">
        <w:rPr>
          <w:rFonts w:ascii="Calibri" w:hAnsi="Calibri" w:cs="Arial"/>
          <w:b/>
          <w:bCs/>
          <w:sz w:val="22"/>
          <w:szCs w:val="22"/>
        </w:rPr>
        <w:t>%</w:t>
      </w:r>
      <w:r w:rsidRPr="004123B5">
        <w:rPr>
          <w:rFonts w:ascii="Calibri" w:hAnsi="Calibri" w:cs="Arial"/>
          <w:bCs/>
          <w:sz w:val="22"/>
          <w:szCs w:val="22"/>
        </w:rPr>
        <w:t xml:space="preserve"> del total del Presupuesto. El desglose es el siguiente:</w:t>
      </w:r>
    </w:p>
    <w:p w:rsidR="00AB338C" w:rsidRPr="004123B5" w:rsidRDefault="00AB338C" w:rsidP="00AB338C">
      <w:pPr>
        <w:spacing w:before="120" w:line="300" w:lineRule="auto"/>
        <w:ind w:firstLine="709"/>
        <w:jc w:val="both"/>
        <w:rPr>
          <w:rFonts w:ascii="Calibri" w:hAnsi="Calibri" w:cs="Arial"/>
          <w:bCs/>
          <w:sz w:val="22"/>
          <w:szCs w:val="22"/>
        </w:rPr>
      </w:pPr>
    </w:p>
    <w:tbl>
      <w:tblPr>
        <w:tblStyle w:val="Tablaconcuadrcula"/>
        <w:tblW w:w="8477" w:type="dxa"/>
        <w:tblInd w:w="108" w:type="dxa"/>
        <w:tblLook w:val="04A0"/>
      </w:tblPr>
      <w:tblGrid>
        <w:gridCol w:w="4219"/>
        <w:gridCol w:w="1593"/>
        <w:gridCol w:w="1559"/>
        <w:gridCol w:w="1106"/>
      </w:tblGrid>
      <w:tr w:rsidR="00AB338C" w:rsidRPr="00ED19A9" w:rsidTr="00AB338C">
        <w:tc>
          <w:tcPr>
            <w:tcW w:w="4219" w:type="dxa"/>
          </w:tcPr>
          <w:p w:rsidR="00AB338C" w:rsidRPr="00ED19A9" w:rsidRDefault="00AB338C" w:rsidP="00AB338C">
            <w:pPr>
              <w:spacing w:line="300" w:lineRule="auto"/>
              <w:jc w:val="center"/>
              <w:rPr>
                <w:rFonts w:ascii="Calibri" w:hAnsi="Calibri" w:cs="Arial"/>
                <w:b/>
                <w:bCs/>
              </w:rPr>
            </w:pPr>
            <w:r w:rsidRPr="00ED19A9">
              <w:rPr>
                <w:rFonts w:ascii="Calibri" w:hAnsi="Calibri" w:cs="Arial"/>
                <w:b/>
                <w:bCs/>
              </w:rPr>
              <w:t>Clasificación económica por artículos</w:t>
            </w:r>
          </w:p>
        </w:tc>
        <w:tc>
          <w:tcPr>
            <w:tcW w:w="1593" w:type="dxa"/>
            <w:vAlign w:val="center"/>
          </w:tcPr>
          <w:p w:rsidR="00AB338C" w:rsidRDefault="00AB338C" w:rsidP="00AB338C">
            <w:pPr>
              <w:autoSpaceDE/>
              <w:autoSpaceDN/>
              <w:jc w:val="right"/>
              <w:rPr>
                <w:rFonts w:ascii="Calibri" w:hAnsi="Calibri"/>
                <w:b/>
                <w:bCs/>
                <w:color w:val="000000"/>
              </w:rPr>
            </w:pPr>
            <w:r>
              <w:rPr>
                <w:rFonts w:ascii="Calibri" w:hAnsi="Calibri" w:cs="Arial"/>
                <w:b/>
                <w:bCs/>
                <w:color w:val="000000"/>
              </w:rPr>
              <w:t>2020</w:t>
            </w:r>
          </w:p>
        </w:tc>
        <w:tc>
          <w:tcPr>
            <w:tcW w:w="1559" w:type="dxa"/>
            <w:vAlign w:val="center"/>
          </w:tcPr>
          <w:p w:rsidR="00AB338C" w:rsidRDefault="00AB338C" w:rsidP="00AB338C">
            <w:pPr>
              <w:jc w:val="right"/>
              <w:rPr>
                <w:rFonts w:ascii="Calibri" w:hAnsi="Calibri"/>
                <w:b/>
                <w:bCs/>
                <w:color w:val="000000"/>
              </w:rPr>
            </w:pPr>
            <w:r>
              <w:rPr>
                <w:rFonts w:ascii="Calibri" w:hAnsi="Calibri" w:cs="Arial"/>
                <w:b/>
                <w:bCs/>
                <w:color w:val="000000"/>
              </w:rPr>
              <w:t>2019</w:t>
            </w:r>
          </w:p>
        </w:tc>
        <w:tc>
          <w:tcPr>
            <w:tcW w:w="1106" w:type="dxa"/>
            <w:vAlign w:val="center"/>
          </w:tcPr>
          <w:p w:rsidR="00AB338C" w:rsidRDefault="00AB338C" w:rsidP="00AB338C">
            <w:pPr>
              <w:jc w:val="right"/>
              <w:rPr>
                <w:rFonts w:ascii="Calibri" w:hAnsi="Calibri"/>
                <w:b/>
                <w:bCs/>
                <w:color w:val="000000"/>
              </w:rPr>
            </w:pPr>
            <w:r>
              <w:rPr>
                <w:rFonts w:ascii="Calibri" w:hAnsi="Calibri" w:cs="Arial"/>
                <w:b/>
                <w:bCs/>
                <w:color w:val="000000"/>
              </w:rPr>
              <w:t>%</w:t>
            </w:r>
          </w:p>
        </w:tc>
      </w:tr>
      <w:tr w:rsidR="00AB338C" w:rsidRPr="00ED19A9" w:rsidTr="00AB338C">
        <w:tc>
          <w:tcPr>
            <w:tcW w:w="4219" w:type="dxa"/>
            <w:vAlign w:val="center"/>
          </w:tcPr>
          <w:p w:rsidR="00AB338C" w:rsidRPr="00ED19A9" w:rsidRDefault="00AB338C" w:rsidP="00AB338C">
            <w:pPr>
              <w:spacing w:line="300" w:lineRule="auto"/>
              <w:rPr>
                <w:rFonts w:ascii="Calibri" w:hAnsi="Calibri" w:cs="Arial"/>
                <w:bCs/>
              </w:rPr>
            </w:pPr>
            <w:r w:rsidRPr="00ED19A9">
              <w:rPr>
                <w:rFonts w:ascii="Calibri" w:hAnsi="Calibri" w:cs="Arial"/>
                <w:bCs/>
              </w:rPr>
              <w:t>20 Arrendamientos y cánones</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39.530,00</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54.386,00</w:t>
            </w:r>
          </w:p>
        </w:tc>
        <w:tc>
          <w:tcPr>
            <w:tcW w:w="1106" w:type="dxa"/>
            <w:vAlign w:val="center"/>
          </w:tcPr>
          <w:p w:rsidR="00AB338C" w:rsidRDefault="00AB338C" w:rsidP="00AB338C">
            <w:pPr>
              <w:jc w:val="right"/>
              <w:rPr>
                <w:rFonts w:ascii="Calibri" w:hAnsi="Calibri"/>
                <w:color w:val="000000"/>
              </w:rPr>
            </w:pPr>
            <w:r>
              <w:rPr>
                <w:rFonts w:ascii="Calibri" w:hAnsi="Calibri"/>
                <w:color w:val="000000"/>
              </w:rPr>
              <w:t>-27,32%</w:t>
            </w:r>
          </w:p>
        </w:tc>
      </w:tr>
      <w:tr w:rsidR="00AB338C" w:rsidRPr="00ED19A9" w:rsidTr="00AB338C">
        <w:tc>
          <w:tcPr>
            <w:tcW w:w="4219" w:type="dxa"/>
            <w:vAlign w:val="center"/>
          </w:tcPr>
          <w:p w:rsidR="00AB338C" w:rsidRPr="00ED19A9" w:rsidRDefault="00AB338C" w:rsidP="00AB338C">
            <w:pPr>
              <w:spacing w:line="300" w:lineRule="auto"/>
              <w:rPr>
                <w:rFonts w:ascii="Calibri" w:hAnsi="Calibri" w:cs="Arial"/>
                <w:bCs/>
              </w:rPr>
            </w:pPr>
            <w:r w:rsidRPr="00ED19A9">
              <w:rPr>
                <w:rFonts w:ascii="Calibri" w:hAnsi="Calibri" w:cs="Arial"/>
                <w:bCs/>
              </w:rPr>
              <w:t>21 Reparaciones, mantenimiento y conservación</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423.060,00</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376.030,00</w:t>
            </w:r>
          </w:p>
        </w:tc>
        <w:tc>
          <w:tcPr>
            <w:tcW w:w="1106" w:type="dxa"/>
            <w:vAlign w:val="center"/>
          </w:tcPr>
          <w:p w:rsidR="00AB338C" w:rsidRDefault="00AB338C" w:rsidP="00AB338C">
            <w:pPr>
              <w:jc w:val="right"/>
              <w:rPr>
                <w:rFonts w:ascii="Calibri" w:hAnsi="Calibri"/>
                <w:color w:val="000000"/>
              </w:rPr>
            </w:pPr>
            <w:r>
              <w:rPr>
                <w:rFonts w:ascii="Calibri" w:hAnsi="Calibri"/>
                <w:color w:val="000000"/>
              </w:rPr>
              <w:t>12,51%</w:t>
            </w:r>
          </w:p>
        </w:tc>
      </w:tr>
      <w:tr w:rsidR="00AB338C" w:rsidRPr="00ED19A9" w:rsidTr="00AB338C">
        <w:tc>
          <w:tcPr>
            <w:tcW w:w="4219" w:type="dxa"/>
            <w:vAlign w:val="center"/>
          </w:tcPr>
          <w:p w:rsidR="00AB338C" w:rsidRPr="00ED19A9" w:rsidRDefault="00AB338C" w:rsidP="00AB338C">
            <w:pPr>
              <w:spacing w:line="300" w:lineRule="auto"/>
              <w:rPr>
                <w:rFonts w:ascii="Calibri" w:hAnsi="Calibri" w:cs="Arial"/>
                <w:bCs/>
              </w:rPr>
            </w:pPr>
            <w:r w:rsidRPr="00ED19A9">
              <w:rPr>
                <w:rFonts w:ascii="Calibri" w:hAnsi="Calibri" w:cs="Arial"/>
                <w:bCs/>
              </w:rPr>
              <w:t>22 Material, suministros y otros</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1.085.615,00</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1.091.552,50</w:t>
            </w:r>
          </w:p>
        </w:tc>
        <w:tc>
          <w:tcPr>
            <w:tcW w:w="1106" w:type="dxa"/>
            <w:vAlign w:val="center"/>
          </w:tcPr>
          <w:p w:rsidR="00AB338C" w:rsidRDefault="00AB338C" w:rsidP="00AB338C">
            <w:pPr>
              <w:jc w:val="right"/>
              <w:rPr>
                <w:rFonts w:ascii="Calibri" w:hAnsi="Calibri"/>
                <w:color w:val="000000"/>
              </w:rPr>
            </w:pPr>
            <w:r>
              <w:rPr>
                <w:rFonts w:ascii="Calibri" w:hAnsi="Calibri"/>
                <w:color w:val="000000"/>
              </w:rPr>
              <w:t>-0,54%</w:t>
            </w:r>
          </w:p>
        </w:tc>
      </w:tr>
      <w:tr w:rsidR="00AB338C" w:rsidRPr="00ED19A9" w:rsidTr="00AB338C">
        <w:tc>
          <w:tcPr>
            <w:tcW w:w="4219" w:type="dxa"/>
            <w:vAlign w:val="center"/>
          </w:tcPr>
          <w:p w:rsidR="00AB338C" w:rsidRPr="00ED19A9" w:rsidRDefault="00AB338C" w:rsidP="00AB338C">
            <w:pPr>
              <w:spacing w:line="300" w:lineRule="auto"/>
              <w:rPr>
                <w:rFonts w:ascii="Calibri" w:hAnsi="Calibri" w:cs="Arial"/>
                <w:bCs/>
              </w:rPr>
            </w:pPr>
            <w:r w:rsidRPr="00ED19A9">
              <w:rPr>
                <w:rFonts w:ascii="Calibri" w:hAnsi="Calibri" w:cs="Arial"/>
                <w:bCs/>
              </w:rPr>
              <w:t>23 Indemnizaciones por razón del servicio</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60.730,00</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58.460,00</w:t>
            </w:r>
          </w:p>
        </w:tc>
        <w:tc>
          <w:tcPr>
            <w:tcW w:w="1106" w:type="dxa"/>
            <w:vAlign w:val="center"/>
          </w:tcPr>
          <w:p w:rsidR="00AB338C" w:rsidRDefault="00AB338C" w:rsidP="00AB338C">
            <w:pPr>
              <w:jc w:val="right"/>
              <w:rPr>
                <w:rFonts w:ascii="Calibri" w:hAnsi="Calibri"/>
                <w:color w:val="000000"/>
              </w:rPr>
            </w:pPr>
            <w:r>
              <w:rPr>
                <w:rFonts w:ascii="Calibri" w:hAnsi="Calibri"/>
                <w:color w:val="000000"/>
              </w:rPr>
              <w:t>3,88%</w:t>
            </w:r>
          </w:p>
        </w:tc>
      </w:tr>
      <w:tr w:rsidR="00AB338C" w:rsidRPr="00ED19A9" w:rsidTr="00AB338C">
        <w:tc>
          <w:tcPr>
            <w:tcW w:w="4219" w:type="dxa"/>
            <w:vAlign w:val="center"/>
          </w:tcPr>
          <w:p w:rsidR="00AB338C" w:rsidRPr="00ED19A9" w:rsidRDefault="00AB338C" w:rsidP="00AB338C">
            <w:pPr>
              <w:spacing w:line="300" w:lineRule="auto"/>
              <w:rPr>
                <w:rFonts w:ascii="Calibri" w:hAnsi="Calibri" w:cs="Arial"/>
                <w:bCs/>
              </w:rPr>
            </w:pPr>
            <w:r w:rsidRPr="00ED19A9">
              <w:rPr>
                <w:rFonts w:ascii="Calibri" w:hAnsi="Calibri" w:cs="Arial"/>
                <w:bCs/>
              </w:rPr>
              <w:t>24 Gastos de publicación</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330,00</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340,00</w:t>
            </w:r>
          </w:p>
        </w:tc>
        <w:tc>
          <w:tcPr>
            <w:tcW w:w="1106" w:type="dxa"/>
            <w:vAlign w:val="center"/>
          </w:tcPr>
          <w:p w:rsidR="00AB338C" w:rsidRDefault="00AB338C" w:rsidP="00AB338C">
            <w:pPr>
              <w:jc w:val="right"/>
              <w:rPr>
                <w:rFonts w:ascii="Calibri" w:hAnsi="Calibri"/>
                <w:color w:val="000000"/>
              </w:rPr>
            </w:pPr>
            <w:r>
              <w:rPr>
                <w:rFonts w:ascii="Calibri" w:hAnsi="Calibri"/>
                <w:color w:val="000000"/>
              </w:rPr>
              <w:t>-2,94%</w:t>
            </w:r>
          </w:p>
        </w:tc>
      </w:tr>
      <w:tr w:rsidR="00AB338C" w:rsidRPr="00ED19A9" w:rsidTr="00AB338C">
        <w:tc>
          <w:tcPr>
            <w:tcW w:w="4219" w:type="dxa"/>
            <w:vAlign w:val="center"/>
          </w:tcPr>
          <w:p w:rsidR="00AB338C" w:rsidRPr="00ED19A9" w:rsidRDefault="00AB338C" w:rsidP="00AB338C">
            <w:pPr>
              <w:spacing w:line="300" w:lineRule="auto"/>
              <w:rPr>
                <w:rFonts w:ascii="Calibri" w:hAnsi="Calibri" w:cs="Arial"/>
                <w:b/>
                <w:bCs/>
              </w:rPr>
            </w:pPr>
          </w:p>
        </w:tc>
        <w:tc>
          <w:tcPr>
            <w:tcW w:w="1593" w:type="dxa"/>
            <w:vAlign w:val="center"/>
          </w:tcPr>
          <w:p w:rsidR="00AB338C" w:rsidRDefault="00AB338C" w:rsidP="00AB338C">
            <w:pPr>
              <w:jc w:val="right"/>
              <w:rPr>
                <w:rFonts w:ascii="Calibri" w:hAnsi="Calibri"/>
                <w:b/>
                <w:bCs/>
                <w:color w:val="000000"/>
              </w:rPr>
            </w:pPr>
            <w:r>
              <w:rPr>
                <w:rFonts w:ascii="Calibri" w:hAnsi="Calibri" w:cs="Arial"/>
                <w:b/>
                <w:bCs/>
                <w:color w:val="000000"/>
              </w:rPr>
              <w:t>1.609.265,00</w:t>
            </w:r>
          </w:p>
        </w:tc>
        <w:tc>
          <w:tcPr>
            <w:tcW w:w="1559" w:type="dxa"/>
            <w:vAlign w:val="center"/>
          </w:tcPr>
          <w:p w:rsidR="00AB338C" w:rsidRDefault="00AB338C" w:rsidP="00AB338C">
            <w:pPr>
              <w:jc w:val="right"/>
              <w:rPr>
                <w:rFonts w:ascii="Calibri" w:hAnsi="Calibri"/>
                <w:b/>
                <w:bCs/>
                <w:color w:val="000000"/>
              </w:rPr>
            </w:pPr>
            <w:r>
              <w:rPr>
                <w:rFonts w:ascii="Calibri" w:hAnsi="Calibri" w:cs="Arial"/>
                <w:b/>
                <w:bCs/>
                <w:color w:val="000000"/>
              </w:rPr>
              <w:t>1.580.768,50</w:t>
            </w:r>
          </w:p>
        </w:tc>
        <w:tc>
          <w:tcPr>
            <w:tcW w:w="1106" w:type="dxa"/>
            <w:vAlign w:val="center"/>
          </w:tcPr>
          <w:p w:rsidR="00AB338C" w:rsidRDefault="00AB338C" w:rsidP="00AB338C">
            <w:pPr>
              <w:jc w:val="right"/>
              <w:rPr>
                <w:rFonts w:ascii="Calibri" w:hAnsi="Calibri"/>
                <w:b/>
                <w:bCs/>
                <w:color w:val="000000"/>
              </w:rPr>
            </w:pPr>
            <w:r>
              <w:rPr>
                <w:rFonts w:ascii="Calibri" w:hAnsi="Calibri"/>
                <w:b/>
                <w:bCs/>
                <w:color w:val="000000"/>
              </w:rPr>
              <w:t>1,80%</w:t>
            </w:r>
          </w:p>
        </w:tc>
      </w:tr>
    </w:tbl>
    <w:p w:rsidR="00AB338C" w:rsidRPr="00CE5AA1" w:rsidRDefault="00AB338C" w:rsidP="00AB338C">
      <w:pPr>
        <w:spacing w:before="120" w:line="300" w:lineRule="auto"/>
        <w:ind w:firstLine="709"/>
        <w:jc w:val="both"/>
        <w:rPr>
          <w:rFonts w:ascii="Calibri" w:hAnsi="Calibri"/>
          <w:b/>
          <w:bCs/>
          <w:color w:val="FF0000"/>
          <w:sz w:val="22"/>
          <w:szCs w:val="22"/>
        </w:rPr>
      </w:pPr>
    </w:p>
    <w:p w:rsidR="00AB338C" w:rsidRDefault="00AB338C" w:rsidP="00AB338C">
      <w:pPr>
        <w:spacing w:before="120" w:line="300" w:lineRule="auto"/>
        <w:ind w:firstLine="709"/>
        <w:jc w:val="both"/>
        <w:rPr>
          <w:rFonts w:ascii="Calibri" w:hAnsi="Calibri"/>
          <w:bCs/>
          <w:sz w:val="22"/>
          <w:szCs w:val="22"/>
        </w:rPr>
      </w:pPr>
      <w:r w:rsidRPr="008239D9">
        <w:rPr>
          <w:rFonts w:ascii="Calibri" w:hAnsi="Calibri"/>
          <w:bCs/>
          <w:sz w:val="22"/>
          <w:szCs w:val="22"/>
        </w:rPr>
        <w:t>El capítulo II</w:t>
      </w:r>
      <w:r>
        <w:rPr>
          <w:rFonts w:ascii="Calibri" w:hAnsi="Calibri"/>
          <w:bCs/>
          <w:sz w:val="22"/>
          <w:szCs w:val="22"/>
        </w:rPr>
        <w:t>, gastos en bienes corrientes y servicios, para el ejercicio 2020 incrementa ligeramente con respecto al ejercicio anterior. El importe de este capítulo asciende a 1.609.265,00 euros, lo que supone 28.496,50 euros más que el ejercicio 2019.</w:t>
      </w:r>
    </w:p>
    <w:p w:rsidR="00AB338C" w:rsidRDefault="00AB338C" w:rsidP="00AB338C">
      <w:pPr>
        <w:spacing w:before="120" w:line="300" w:lineRule="auto"/>
        <w:ind w:firstLine="709"/>
        <w:jc w:val="both"/>
        <w:rPr>
          <w:rFonts w:ascii="Calibri" w:hAnsi="Calibri"/>
          <w:bCs/>
          <w:sz w:val="22"/>
          <w:szCs w:val="22"/>
        </w:rPr>
      </w:pPr>
      <w:r w:rsidRPr="008239D9">
        <w:rPr>
          <w:rFonts w:ascii="Calibri" w:hAnsi="Calibri"/>
          <w:bCs/>
          <w:sz w:val="22"/>
          <w:szCs w:val="22"/>
        </w:rPr>
        <w:t xml:space="preserve">Este capítulo recoge los gastos de servicios y suministros necesarios para el normal funcionamiento del servicio de bomberos. </w:t>
      </w:r>
    </w:p>
    <w:p w:rsidR="00AB338C" w:rsidRPr="008239D9" w:rsidRDefault="00AB338C" w:rsidP="00AB338C">
      <w:pPr>
        <w:spacing w:before="120" w:line="300" w:lineRule="auto"/>
        <w:ind w:firstLine="709"/>
        <w:jc w:val="both"/>
        <w:rPr>
          <w:rFonts w:ascii="Calibri" w:hAnsi="Calibri"/>
          <w:bCs/>
          <w:sz w:val="22"/>
          <w:szCs w:val="22"/>
        </w:rPr>
      </w:pPr>
      <w:r>
        <w:rPr>
          <w:rFonts w:ascii="Calibri" w:hAnsi="Calibri"/>
          <w:bCs/>
          <w:sz w:val="22"/>
          <w:szCs w:val="22"/>
        </w:rPr>
        <w:t>En el presente ejercicio continuamos con el suministro de vestuario y equipos de protección individual para el personal operativo en cumplimiento de</w:t>
      </w:r>
      <w:r w:rsidRPr="008239D9">
        <w:rPr>
          <w:rFonts w:ascii="Calibri" w:hAnsi="Calibri"/>
          <w:bCs/>
          <w:sz w:val="22"/>
          <w:szCs w:val="22"/>
        </w:rPr>
        <w:t xml:space="preserve"> las normas de seguridad e higiene en el trabajo</w:t>
      </w:r>
      <w:r>
        <w:rPr>
          <w:rFonts w:ascii="Calibri" w:hAnsi="Calibri"/>
          <w:bCs/>
          <w:sz w:val="22"/>
          <w:szCs w:val="22"/>
        </w:rPr>
        <w:t>.</w:t>
      </w:r>
    </w:p>
    <w:p w:rsidR="00AB338C" w:rsidRPr="008239D9" w:rsidRDefault="00AB338C" w:rsidP="00AB338C">
      <w:pPr>
        <w:spacing w:before="120" w:line="300" w:lineRule="auto"/>
        <w:ind w:firstLine="709"/>
        <w:jc w:val="both"/>
        <w:rPr>
          <w:rFonts w:ascii="Calibri" w:hAnsi="Calibri" w:cs="Arial"/>
          <w:bCs/>
          <w:sz w:val="22"/>
          <w:szCs w:val="22"/>
        </w:rPr>
      </w:pPr>
      <w:r>
        <w:rPr>
          <w:rFonts w:ascii="Calibri" w:hAnsi="Calibri" w:cs="Arial"/>
          <w:bCs/>
          <w:sz w:val="22"/>
          <w:szCs w:val="22"/>
        </w:rPr>
        <w:lastRenderedPageBreak/>
        <w:t xml:space="preserve">Mantenimiento de los vehículos (Auto escaleras, autobombas, vehículo especiales de rescate,…), mantenimiento del material técnico operativo (equipos de respiración autónoma, limpieza de máscaras, extintores, botellas de aire comprimido…), mantenimiento de maquinaria y utillaje, mantenimiento de edificios, limpieza…, a lo que hay que sumar los suministros </w:t>
      </w:r>
      <w:r w:rsidRPr="00CF2F36">
        <w:rPr>
          <w:rFonts w:ascii="Calibri" w:hAnsi="Calibri" w:cs="Arial"/>
          <w:bCs/>
          <w:sz w:val="22"/>
          <w:szCs w:val="22"/>
        </w:rPr>
        <w:t>de agua, electricidad, teléfonos, repuestos de maquinarias, combustibles</w:t>
      </w:r>
      <w:r>
        <w:rPr>
          <w:rFonts w:ascii="Calibri" w:hAnsi="Calibri" w:cs="Arial"/>
          <w:bCs/>
          <w:sz w:val="22"/>
          <w:szCs w:val="22"/>
        </w:rPr>
        <w:t>,</w:t>
      </w:r>
      <w:r w:rsidRPr="00CF2F36">
        <w:rPr>
          <w:rFonts w:ascii="Calibri" w:hAnsi="Calibri" w:cs="Arial"/>
          <w:bCs/>
          <w:sz w:val="22"/>
          <w:szCs w:val="22"/>
        </w:rPr>
        <w:t xml:space="preserve"> seguros de los vehículos</w:t>
      </w:r>
      <w:r>
        <w:rPr>
          <w:rFonts w:ascii="Calibri" w:hAnsi="Calibri" w:cs="Arial"/>
          <w:bCs/>
          <w:sz w:val="22"/>
          <w:szCs w:val="22"/>
        </w:rPr>
        <w:t>, hacen que disminuir este capítulo sea prácticamente imposible.</w:t>
      </w:r>
    </w:p>
    <w:p w:rsidR="00AB338C" w:rsidRPr="00B73E18" w:rsidRDefault="00AB338C" w:rsidP="00AB338C">
      <w:pPr>
        <w:spacing w:before="120" w:line="300" w:lineRule="auto"/>
        <w:ind w:firstLine="709"/>
        <w:jc w:val="both"/>
        <w:rPr>
          <w:rFonts w:ascii="Calibri" w:hAnsi="Calibri" w:cs="Arial"/>
          <w:bCs/>
          <w:color w:val="FF0000"/>
          <w:sz w:val="22"/>
          <w:szCs w:val="22"/>
        </w:rPr>
      </w:pPr>
    </w:p>
    <w:p w:rsidR="00AB338C" w:rsidRPr="009234B7" w:rsidRDefault="00AB338C" w:rsidP="00AB338C">
      <w:pPr>
        <w:pStyle w:val="Prrafodelista"/>
        <w:numPr>
          <w:ilvl w:val="0"/>
          <w:numId w:val="1"/>
        </w:numPr>
        <w:spacing w:before="120" w:line="300" w:lineRule="auto"/>
        <w:jc w:val="both"/>
        <w:rPr>
          <w:rFonts w:ascii="Calibri" w:hAnsi="Calibri" w:cs="Arial"/>
          <w:b/>
          <w:bCs/>
          <w:i/>
          <w:sz w:val="22"/>
          <w:szCs w:val="22"/>
        </w:rPr>
      </w:pPr>
      <w:r w:rsidRPr="009234B7">
        <w:rPr>
          <w:rFonts w:ascii="Calibri" w:hAnsi="Calibri" w:cs="Arial"/>
          <w:b/>
          <w:bCs/>
          <w:i/>
          <w:sz w:val="22"/>
          <w:szCs w:val="22"/>
        </w:rPr>
        <w:t>Capítulo III, Gastos financieros</w:t>
      </w:r>
    </w:p>
    <w:p w:rsidR="00AB338C" w:rsidRPr="009234B7" w:rsidRDefault="00AB338C" w:rsidP="00AB338C">
      <w:pPr>
        <w:spacing w:before="120" w:line="300" w:lineRule="auto"/>
        <w:ind w:firstLine="709"/>
        <w:jc w:val="both"/>
        <w:rPr>
          <w:rFonts w:ascii="Calibri" w:hAnsi="Calibri" w:cs="Arial"/>
          <w:bCs/>
          <w:sz w:val="22"/>
          <w:szCs w:val="22"/>
        </w:rPr>
      </w:pPr>
      <w:r>
        <w:rPr>
          <w:rFonts w:ascii="Calibri" w:hAnsi="Calibri" w:cs="Arial"/>
          <w:bCs/>
          <w:sz w:val="22"/>
          <w:szCs w:val="22"/>
        </w:rPr>
        <w:t xml:space="preserve">En este capítulo solo se incluyen </w:t>
      </w:r>
      <w:r w:rsidRPr="009234B7">
        <w:rPr>
          <w:rFonts w:ascii="Calibri" w:hAnsi="Calibri" w:cs="Arial"/>
          <w:bCs/>
          <w:sz w:val="22"/>
          <w:szCs w:val="22"/>
        </w:rPr>
        <w:t>los gastos financieros que las entidades bancarias cobra</w:t>
      </w:r>
      <w:r>
        <w:rPr>
          <w:rFonts w:ascii="Calibri" w:hAnsi="Calibri" w:cs="Arial"/>
          <w:bCs/>
          <w:sz w:val="22"/>
          <w:szCs w:val="22"/>
        </w:rPr>
        <w:t>n por los servicios prestados</w:t>
      </w:r>
      <w:r w:rsidRPr="009234B7">
        <w:rPr>
          <w:rFonts w:ascii="Calibri" w:hAnsi="Calibri" w:cs="Arial"/>
          <w:bCs/>
          <w:sz w:val="22"/>
          <w:szCs w:val="22"/>
        </w:rPr>
        <w:t>. El Consorcio no tiene concertada ninguna operación de endeudamiento ni de tesorería que suponga un coste imputable a este capítulo.</w:t>
      </w:r>
      <w:r>
        <w:rPr>
          <w:rFonts w:ascii="Calibri" w:hAnsi="Calibri" w:cs="Arial"/>
          <w:bCs/>
          <w:sz w:val="22"/>
          <w:szCs w:val="22"/>
        </w:rPr>
        <w:t xml:space="preserve"> Este capítulo experimenta una ligera disminución con respecto al ejercicio anterior, y su peso en el total del Presupuesto es prácticamente nulo.</w:t>
      </w:r>
    </w:p>
    <w:p w:rsidR="00AB338C" w:rsidRDefault="00AB338C" w:rsidP="00AB338C">
      <w:pPr>
        <w:spacing w:before="120" w:line="300" w:lineRule="auto"/>
        <w:ind w:firstLine="709"/>
        <w:jc w:val="both"/>
        <w:rPr>
          <w:rFonts w:ascii="Calibri" w:hAnsi="Calibri" w:cs="Arial"/>
          <w:bCs/>
          <w:color w:val="FF0000"/>
          <w:sz w:val="22"/>
          <w:szCs w:val="22"/>
        </w:rPr>
      </w:pPr>
    </w:p>
    <w:p w:rsidR="00AB338C" w:rsidRDefault="00AB338C" w:rsidP="00AB338C">
      <w:pPr>
        <w:spacing w:before="120" w:line="300" w:lineRule="auto"/>
        <w:ind w:firstLine="709"/>
        <w:jc w:val="both"/>
        <w:rPr>
          <w:rFonts w:ascii="Calibri" w:hAnsi="Calibri" w:cs="Arial"/>
          <w:bCs/>
          <w:color w:val="FF0000"/>
          <w:sz w:val="22"/>
          <w:szCs w:val="22"/>
        </w:rPr>
      </w:pPr>
    </w:p>
    <w:p w:rsidR="00AB338C" w:rsidRPr="000F0AD6" w:rsidRDefault="00AB338C" w:rsidP="00AB338C">
      <w:pPr>
        <w:pStyle w:val="Prrafodelista"/>
        <w:numPr>
          <w:ilvl w:val="0"/>
          <w:numId w:val="1"/>
        </w:numPr>
        <w:tabs>
          <w:tab w:val="clear" w:pos="1080"/>
        </w:tabs>
        <w:spacing w:before="120" w:line="300" w:lineRule="auto"/>
        <w:jc w:val="both"/>
        <w:rPr>
          <w:rFonts w:ascii="Calibri" w:hAnsi="Calibri" w:cs="Arial"/>
          <w:bCs/>
          <w:sz w:val="22"/>
          <w:szCs w:val="22"/>
        </w:rPr>
      </w:pPr>
      <w:r w:rsidRPr="000F0AD6">
        <w:rPr>
          <w:rFonts w:ascii="Calibri" w:hAnsi="Calibri" w:cs="Arial"/>
          <w:b/>
          <w:bCs/>
          <w:i/>
          <w:sz w:val="22"/>
          <w:szCs w:val="22"/>
        </w:rPr>
        <w:t>Capítulo IV, Transferencias corrientes</w:t>
      </w:r>
    </w:p>
    <w:p w:rsidR="00AB338C" w:rsidRDefault="00AB338C" w:rsidP="00AB338C">
      <w:pPr>
        <w:spacing w:before="120" w:line="300" w:lineRule="auto"/>
        <w:ind w:firstLine="720"/>
        <w:jc w:val="both"/>
        <w:rPr>
          <w:rFonts w:ascii="Calibri" w:hAnsi="Calibri" w:cs="Arial"/>
          <w:bCs/>
          <w:sz w:val="22"/>
          <w:szCs w:val="22"/>
        </w:rPr>
      </w:pPr>
      <w:r w:rsidRPr="000F0AD6">
        <w:rPr>
          <w:rFonts w:ascii="Calibri" w:hAnsi="Calibri" w:cs="Arial"/>
          <w:bCs/>
          <w:sz w:val="22"/>
          <w:szCs w:val="22"/>
        </w:rPr>
        <w:t>El capítulo IV para 20</w:t>
      </w:r>
      <w:r>
        <w:rPr>
          <w:rFonts w:ascii="Calibri" w:hAnsi="Calibri" w:cs="Arial"/>
          <w:bCs/>
          <w:sz w:val="22"/>
          <w:szCs w:val="22"/>
        </w:rPr>
        <w:t>20</w:t>
      </w:r>
      <w:r w:rsidRPr="000F0AD6">
        <w:rPr>
          <w:rFonts w:ascii="Calibri" w:hAnsi="Calibri" w:cs="Arial"/>
          <w:bCs/>
          <w:sz w:val="22"/>
          <w:szCs w:val="22"/>
        </w:rPr>
        <w:t xml:space="preserve"> se cifra en </w:t>
      </w:r>
      <w:r>
        <w:rPr>
          <w:rFonts w:ascii="Calibri" w:hAnsi="Calibri" w:cs="Arial"/>
          <w:bCs/>
          <w:sz w:val="22"/>
          <w:szCs w:val="22"/>
        </w:rPr>
        <w:t>349.067,00</w:t>
      </w:r>
      <w:r w:rsidRPr="000F0AD6">
        <w:rPr>
          <w:rFonts w:ascii="Calibri" w:hAnsi="Calibri" w:cs="Arial"/>
          <w:bCs/>
          <w:sz w:val="22"/>
          <w:szCs w:val="22"/>
        </w:rPr>
        <w:t xml:space="preserve"> euros</w:t>
      </w:r>
      <w:r>
        <w:rPr>
          <w:rFonts w:ascii="Calibri" w:hAnsi="Calibri" w:cs="Arial"/>
          <w:bCs/>
          <w:sz w:val="22"/>
          <w:szCs w:val="22"/>
        </w:rPr>
        <w:t>, presentando un incremento con respecto al ejercicio anterior de 107.067,00 euros, es decir, un 44,24%</w:t>
      </w:r>
      <w:r w:rsidRPr="000F0AD6">
        <w:rPr>
          <w:rFonts w:ascii="Calibri" w:hAnsi="Calibri" w:cs="Arial"/>
          <w:bCs/>
          <w:sz w:val="22"/>
          <w:szCs w:val="22"/>
        </w:rPr>
        <w:t>. Solo recoge subvenciones nominativas que vienen detalladas en</w:t>
      </w:r>
      <w:r>
        <w:rPr>
          <w:rFonts w:ascii="Calibri" w:hAnsi="Calibri" w:cs="Arial"/>
          <w:bCs/>
          <w:sz w:val="22"/>
          <w:szCs w:val="22"/>
        </w:rPr>
        <w:t xml:space="preserve"> el Anexo I de este Presupuesto:</w:t>
      </w:r>
    </w:p>
    <w:p w:rsidR="00AB338C" w:rsidRPr="000F0AD6" w:rsidRDefault="00AB338C" w:rsidP="00AB338C">
      <w:pPr>
        <w:pStyle w:val="Prrafodelista"/>
        <w:numPr>
          <w:ilvl w:val="3"/>
          <w:numId w:val="1"/>
        </w:numPr>
        <w:tabs>
          <w:tab w:val="clear" w:pos="3240"/>
        </w:tabs>
        <w:spacing w:before="120" w:line="300" w:lineRule="auto"/>
        <w:ind w:left="1560" w:hanging="284"/>
        <w:jc w:val="both"/>
        <w:rPr>
          <w:rFonts w:ascii="Calibri" w:hAnsi="Calibri" w:cs="Arial"/>
          <w:bCs/>
          <w:sz w:val="22"/>
          <w:szCs w:val="22"/>
        </w:rPr>
      </w:pPr>
      <w:r w:rsidRPr="000F0AD6">
        <w:rPr>
          <w:rFonts w:ascii="Calibri" w:hAnsi="Calibri" w:cs="Arial"/>
          <w:bCs/>
          <w:sz w:val="22"/>
          <w:szCs w:val="22"/>
        </w:rPr>
        <w:t>Subvención Asociación Deportiva y Cultural, formada por los trabajadores del Consorcio.</w:t>
      </w:r>
    </w:p>
    <w:p w:rsidR="00AB338C" w:rsidRPr="000F0AD6" w:rsidRDefault="00AB338C" w:rsidP="00AB338C">
      <w:pPr>
        <w:pStyle w:val="Prrafodelista"/>
        <w:numPr>
          <w:ilvl w:val="3"/>
          <w:numId w:val="1"/>
        </w:numPr>
        <w:tabs>
          <w:tab w:val="clear" w:pos="3240"/>
        </w:tabs>
        <w:spacing w:before="120" w:line="300" w:lineRule="auto"/>
        <w:ind w:left="1560" w:hanging="284"/>
        <w:jc w:val="both"/>
        <w:rPr>
          <w:rFonts w:ascii="Calibri" w:hAnsi="Calibri" w:cs="Arial"/>
          <w:bCs/>
          <w:sz w:val="22"/>
          <w:szCs w:val="22"/>
        </w:rPr>
      </w:pPr>
      <w:r w:rsidRPr="000F0AD6">
        <w:rPr>
          <w:rFonts w:ascii="Calibri" w:hAnsi="Calibri" w:cs="Arial"/>
          <w:bCs/>
          <w:sz w:val="22"/>
          <w:szCs w:val="22"/>
        </w:rPr>
        <w:t>Subvención O.N.G. Bomberos Sin Fronteras</w:t>
      </w:r>
      <w:r>
        <w:rPr>
          <w:rFonts w:ascii="Calibri" w:hAnsi="Calibri" w:cs="Arial"/>
          <w:bCs/>
          <w:sz w:val="22"/>
          <w:szCs w:val="22"/>
        </w:rPr>
        <w:t>.</w:t>
      </w:r>
    </w:p>
    <w:p w:rsidR="00AB338C" w:rsidRDefault="00AB338C" w:rsidP="00AB338C">
      <w:pPr>
        <w:pStyle w:val="Prrafodelista"/>
        <w:numPr>
          <w:ilvl w:val="3"/>
          <w:numId w:val="1"/>
        </w:numPr>
        <w:tabs>
          <w:tab w:val="clear" w:pos="3240"/>
        </w:tabs>
        <w:spacing w:before="120" w:line="300" w:lineRule="auto"/>
        <w:ind w:left="1560" w:hanging="284"/>
        <w:jc w:val="both"/>
        <w:rPr>
          <w:rFonts w:ascii="Calibri" w:hAnsi="Calibri" w:cs="Arial"/>
          <w:bCs/>
          <w:sz w:val="22"/>
          <w:szCs w:val="22"/>
        </w:rPr>
      </w:pPr>
      <w:r w:rsidRPr="000F0AD6">
        <w:rPr>
          <w:rFonts w:ascii="Calibri" w:hAnsi="Calibri" w:cs="Arial"/>
          <w:bCs/>
          <w:sz w:val="22"/>
          <w:szCs w:val="22"/>
        </w:rPr>
        <w:t>Asociación de C</w:t>
      </w:r>
      <w:r>
        <w:rPr>
          <w:rFonts w:ascii="Calibri" w:hAnsi="Calibri" w:cs="Arial"/>
          <w:bCs/>
          <w:sz w:val="22"/>
          <w:szCs w:val="22"/>
        </w:rPr>
        <w:t>onsorcios de Bomberos de España (</w:t>
      </w:r>
      <w:r w:rsidRPr="000F0AD6">
        <w:rPr>
          <w:rFonts w:ascii="Calibri" w:hAnsi="Calibri" w:cs="Arial"/>
          <w:bCs/>
          <w:sz w:val="22"/>
          <w:szCs w:val="22"/>
        </w:rPr>
        <w:t>Conb</w:t>
      </w:r>
      <w:r>
        <w:rPr>
          <w:rFonts w:ascii="Calibri" w:hAnsi="Calibri" w:cs="Arial"/>
          <w:bCs/>
          <w:sz w:val="22"/>
          <w:szCs w:val="22"/>
        </w:rPr>
        <w:t>e</w:t>
      </w:r>
      <w:r w:rsidRPr="000F0AD6">
        <w:rPr>
          <w:rFonts w:ascii="Calibri" w:hAnsi="Calibri" w:cs="Arial"/>
          <w:bCs/>
          <w:sz w:val="22"/>
          <w:szCs w:val="22"/>
        </w:rPr>
        <w:t>)</w:t>
      </w:r>
      <w:r>
        <w:rPr>
          <w:rFonts w:ascii="Calibri" w:hAnsi="Calibri" w:cs="Arial"/>
          <w:bCs/>
          <w:sz w:val="22"/>
          <w:szCs w:val="22"/>
        </w:rPr>
        <w:t>, cuota social.</w:t>
      </w:r>
    </w:p>
    <w:p w:rsidR="00AB338C" w:rsidRPr="000F0AD6" w:rsidRDefault="00AB338C" w:rsidP="00AB338C">
      <w:pPr>
        <w:pStyle w:val="Prrafodelista"/>
        <w:numPr>
          <w:ilvl w:val="3"/>
          <w:numId w:val="1"/>
        </w:numPr>
        <w:tabs>
          <w:tab w:val="clear" w:pos="3240"/>
        </w:tabs>
        <w:spacing w:before="120" w:line="300" w:lineRule="auto"/>
        <w:ind w:left="1560" w:hanging="284"/>
        <w:jc w:val="both"/>
        <w:rPr>
          <w:rFonts w:ascii="Calibri" w:hAnsi="Calibri" w:cs="Arial"/>
          <w:bCs/>
          <w:sz w:val="22"/>
          <w:szCs w:val="22"/>
        </w:rPr>
      </w:pPr>
      <w:r>
        <w:rPr>
          <w:rFonts w:ascii="Calibri" w:hAnsi="Calibri" w:cs="Arial"/>
          <w:bCs/>
          <w:sz w:val="22"/>
          <w:szCs w:val="22"/>
        </w:rPr>
        <w:t>Subvención para gastos corrientes de las Asociaciones de Bomberos Voluntarios.</w:t>
      </w:r>
    </w:p>
    <w:p w:rsidR="00AB338C" w:rsidRDefault="00AB338C" w:rsidP="00AB338C">
      <w:pPr>
        <w:spacing w:before="120" w:line="300" w:lineRule="auto"/>
        <w:ind w:firstLine="720"/>
        <w:jc w:val="both"/>
        <w:rPr>
          <w:rFonts w:ascii="Calibri" w:hAnsi="Calibri" w:cs="Arial"/>
          <w:bCs/>
          <w:color w:val="FF0000"/>
          <w:sz w:val="22"/>
          <w:szCs w:val="22"/>
        </w:rPr>
      </w:pPr>
    </w:p>
    <w:tbl>
      <w:tblPr>
        <w:tblStyle w:val="Tablaconcuadrcula"/>
        <w:tblW w:w="8477" w:type="dxa"/>
        <w:tblInd w:w="108" w:type="dxa"/>
        <w:tblLook w:val="04A0"/>
      </w:tblPr>
      <w:tblGrid>
        <w:gridCol w:w="4219"/>
        <w:gridCol w:w="1593"/>
        <w:gridCol w:w="1559"/>
        <w:gridCol w:w="1106"/>
      </w:tblGrid>
      <w:tr w:rsidR="00AB338C" w:rsidRPr="00ED19A9" w:rsidTr="00AB338C">
        <w:tc>
          <w:tcPr>
            <w:tcW w:w="4219" w:type="dxa"/>
          </w:tcPr>
          <w:p w:rsidR="00AB338C" w:rsidRPr="00ED19A9" w:rsidRDefault="00AB338C" w:rsidP="00AB338C">
            <w:pPr>
              <w:spacing w:line="300" w:lineRule="auto"/>
              <w:jc w:val="center"/>
              <w:rPr>
                <w:rFonts w:ascii="Calibri" w:hAnsi="Calibri" w:cs="Arial"/>
                <w:b/>
                <w:bCs/>
              </w:rPr>
            </w:pPr>
            <w:r w:rsidRPr="00ED19A9">
              <w:rPr>
                <w:rFonts w:ascii="Calibri" w:hAnsi="Calibri" w:cs="Arial"/>
                <w:b/>
                <w:bCs/>
              </w:rPr>
              <w:t>Clasificación económica por artículos</w:t>
            </w:r>
          </w:p>
        </w:tc>
        <w:tc>
          <w:tcPr>
            <w:tcW w:w="1593" w:type="dxa"/>
            <w:vAlign w:val="center"/>
          </w:tcPr>
          <w:p w:rsidR="00AB338C" w:rsidRDefault="00AB338C" w:rsidP="00AB338C">
            <w:pPr>
              <w:autoSpaceDE/>
              <w:autoSpaceDN/>
              <w:jc w:val="right"/>
              <w:rPr>
                <w:rFonts w:ascii="Calibri" w:hAnsi="Calibri"/>
                <w:b/>
                <w:bCs/>
                <w:color w:val="000000"/>
              </w:rPr>
            </w:pPr>
            <w:r>
              <w:rPr>
                <w:rFonts w:ascii="Calibri" w:hAnsi="Calibri" w:cs="Arial"/>
                <w:b/>
                <w:bCs/>
                <w:color w:val="000000"/>
              </w:rPr>
              <w:t>2020</w:t>
            </w:r>
          </w:p>
        </w:tc>
        <w:tc>
          <w:tcPr>
            <w:tcW w:w="1559" w:type="dxa"/>
            <w:vAlign w:val="center"/>
          </w:tcPr>
          <w:p w:rsidR="00AB338C" w:rsidRDefault="00AB338C" w:rsidP="00AB338C">
            <w:pPr>
              <w:jc w:val="right"/>
              <w:rPr>
                <w:rFonts w:ascii="Calibri" w:hAnsi="Calibri"/>
                <w:b/>
                <w:bCs/>
                <w:color w:val="000000"/>
              </w:rPr>
            </w:pPr>
            <w:r>
              <w:rPr>
                <w:rFonts w:ascii="Calibri" w:hAnsi="Calibri" w:cs="Arial"/>
                <w:b/>
                <w:bCs/>
                <w:color w:val="000000"/>
              </w:rPr>
              <w:t>2019</w:t>
            </w:r>
          </w:p>
        </w:tc>
        <w:tc>
          <w:tcPr>
            <w:tcW w:w="1106" w:type="dxa"/>
            <w:vAlign w:val="center"/>
          </w:tcPr>
          <w:p w:rsidR="00AB338C" w:rsidRDefault="00AB338C" w:rsidP="00AB338C">
            <w:pPr>
              <w:jc w:val="right"/>
              <w:rPr>
                <w:rFonts w:ascii="Calibri" w:hAnsi="Calibri"/>
                <w:b/>
                <w:bCs/>
                <w:color w:val="000000"/>
              </w:rPr>
            </w:pPr>
            <w:r>
              <w:rPr>
                <w:rFonts w:ascii="Calibri" w:hAnsi="Calibri" w:cs="Arial"/>
                <w:b/>
                <w:bCs/>
                <w:color w:val="000000"/>
              </w:rPr>
              <w:t>%</w:t>
            </w:r>
          </w:p>
        </w:tc>
      </w:tr>
      <w:tr w:rsidR="00AB338C" w:rsidRPr="00ED19A9" w:rsidTr="00AB338C">
        <w:tc>
          <w:tcPr>
            <w:tcW w:w="4219" w:type="dxa"/>
            <w:vAlign w:val="center"/>
          </w:tcPr>
          <w:p w:rsidR="00AB338C" w:rsidRPr="00ED19A9" w:rsidRDefault="00AB338C" w:rsidP="00AB338C">
            <w:pPr>
              <w:spacing w:line="300" w:lineRule="auto"/>
              <w:rPr>
                <w:rFonts w:ascii="Calibri" w:hAnsi="Calibri" w:cs="Arial"/>
                <w:bCs/>
              </w:rPr>
            </w:pPr>
            <w:r>
              <w:rPr>
                <w:rFonts w:ascii="Calibri" w:hAnsi="Calibri" w:cs="Arial"/>
                <w:bCs/>
              </w:rPr>
              <w:t>48Transferencias corrientes a Familias e Instituciones sin fines de lucro</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349.067,00</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242.000,00</w:t>
            </w:r>
          </w:p>
        </w:tc>
        <w:tc>
          <w:tcPr>
            <w:tcW w:w="1106" w:type="dxa"/>
            <w:vAlign w:val="center"/>
          </w:tcPr>
          <w:p w:rsidR="00AB338C" w:rsidRDefault="00AB338C" w:rsidP="00AB338C">
            <w:pPr>
              <w:jc w:val="right"/>
              <w:rPr>
                <w:rFonts w:ascii="Calibri" w:hAnsi="Calibri"/>
                <w:color w:val="000000"/>
              </w:rPr>
            </w:pPr>
            <w:r>
              <w:rPr>
                <w:rFonts w:ascii="Calibri" w:hAnsi="Calibri"/>
                <w:color w:val="000000"/>
              </w:rPr>
              <w:t>44,24%</w:t>
            </w:r>
          </w:p>
        </w:tc>
      </w:tr>
      <w:tr w:rsidR="00AB338C" w:rsidRPr="00ED19A9" w:rsidTr="00AB338C">
        <w:tc>
          <w:tcPr>
            <w:tcW w:w="4219" w:type="dxa"/>
            <w:vAlign w:val="center"/>
          </w:tcPr>
          <w:p w:rsidR="00AB338C" w:rsidRPr="00ED19A9" w:rsidRDefault="00AB338C" w:rsidP="00AB338C">
            <w:pPr>
              <w:spacing w:line="300" w:lineRule="auto"/>
              <w:rPr>
                <w:rFonts w:ascii="Calibri" w:hAnsi="Calibri" w:cs="Arial"/>
                <w:b/>
                <w:bCs/>
              </w:rPr>
            </w:pPr>
          </w:p>
        </w:tc>
        <w:tc>
          <w:tcPr>
            <w:tcW w:w="1593" w:type="dxa"/>
            <w:vAlign w:val="center"/>
          </w:tcPr>
          <w:p w:rsidR="00AB338C" w:rsidRDefault="00AB338C" w:rsidP="00AB338C">
            <w:pPr>
              <w:jc w:val="right"/>
              <w:rPr>
                <w:rFonts w:ascii="Calibri" w:hAnsi="Calibri"/>
                <w:b/>
                <w:bCs/>
                <w:color w:val="000000"/>
              </w:rPr>
            </w:pPr>
            <w:r>
              <w:rPr>
                <w:rFonts w:ascii="Calibri" w:hAnsi="Calibri" w:cs="Arial"/>
                <w:b/>
                <w:bCs/>
                <w:color w:val="000000"/>
              </w:rPr>
              <w:t>349.067,00</w:t>
            </w:r>
          </w:p>
        </w:tc>
        <w:tc>
          <w:tcPr>
            <w:tcW w:w="1559" w:type="dxa"/>
            <w:vAlign w:val="center"/>
          </w:tcPr>
          <w:p w:rsidR="00AB338C" w:rsidRDefault="00AB338C" w:rsidP="00AB338C">
            <w:pPr>
              <w:jc w:val="right"/>
              <w:rPr>
                <w:rFonts w:ascii="Calibri" w:hAnsi="Calibri"/>
                <w:b/>
                <w:bCs/>
                <w:color w:val="000000"/>
              </w:rPr>
            </w:pPr>
            <w:r>
              <w:rPr>
                <w:rFonts w:ascii="Calibri" w:hAnsi="Calibri" w:cs="Arial"/>
                <w:b/>
                <w:bCs/>
                <w:color w:val="000000"/>
              </w:rPr>
              <w:t>242.000,00</w:t>
            </w:r>
          </w:p>
        </w:tc>
        <w:tc>
          <w:tcPr>
            <w:tcW w:w="1106" w:type="dxa"/>
            <w:vAlign w:val="center"/>
          </w:tcPr>
          <w:p w:rsidR="00AB338C" w:rsidRDefault="00AB338C" w:rsidP="00AB338C">
            <w:pPr>
              <w:jc w:val="right"/>
              <w:rPr>
                <w:rFonts w:ascii="Calibri" w:hAnsi="Calibri"/>
                <w:b/>
                <w:bCs/>
                <w:color w:val="000000"/>
              </w:rPr>
            </w:pPr>
            <w:r>
              <w:rPr>
                <w:rFonts w:ascii="Calibri" w:hAnsi="Calibri"/>
                <w:b/>
                <w:bCs/>
                <w:color w:val="000000"/>
              </w:rPr>
              <w:t>44,24%</w:t>
            </w:r>
          </w:p>
        </w:tc>
      </w:tr>
    </w:tbl>
    <w:p w:rsidR="00AB338C" w:rsidRDefault="00AB338C" w:rsidP="00AB338C">
      <w:pPr>
        <w:spacing w:before="120" w:line="300" w:lineRule="auto"/>
        <w:ind w:firstLine="720"/>
        <w:jc w:val="both"/>
        <w:rPr>
          <w:rFonts w:ascii="Calibri" w:hAnsi="Calibri" w:cs="Arial"/>
          <w:bCs/>
          <w:sz w:val="22"/>
          <w:szCs w:val="22"/>
        </w:rPr>
      </w:pPr>
    </w:p>
    <w:p w:rsidR="00AB338C" w:rsidRPr="000F0AD6" w:rsidRDefault="00AB338C" w:rsidP="00AB338C">
      <w:pPr>
        <w:spacing w:before="120" w:line="300" w:lineRule="auto"/>
        <w:ind w:firstLine="720"/>
        <w:jc w:val="both"/>
        <w:rPr>
          <w:rFonts w:ascii="Calibri" w:hAnsi="Calibri" w:cs="Arial"/>
          <w:bCs/>
          <w:sz w:val="22"/>
          <w:szCs w:val="22"/>
        </w:rPr>
      </w:pPr>
      <w:r>
        <w:rPr>
          <w:rFonts w:ascii="Calibri" w:hAnsi="Calibri" w:cs="Arial"/>
          <w:bCs/>
          <w:sz w:val="22"/>
          <w:szCs w:val="22"/>
        </w:rPr>
        <w:t>E</w:t>
      </w:r>
      <w:r w:rsidRPr="000F0AD6">
        <w:rPr>
          <w:rFonts w:ascii="Calibri" w:hAnsi="Calibri" w:cs="Arial"/>
          <w:bCs/>
          <w:sz w:val="22"/>
          <w:szCs w:val="22"/>
        </w:rPr>
        <w:t xml:space="preserve">l Capítulo IV </w:t>
      </w:r>
      <w:r>
        <w:rPr>
          <w:rFonts w:ascii="Calibri" w:hAnsi="Calibri" w:cs="Arial"/>
          <w:bCs/>
          <w:sz w:val="22"/>
          <w:szCs w:val="22"/>
        </w:rPr>
        <w:t xml:space="preserve">representa </w:t>
      </w:r>
      <w:r w:rsidRPr="000F0AD6">
        <w:rPr>
          <w:rFonts w:ascii="Calibri" w:hAnsi="Calibri" w:cs="Arial"/>
          <w:bCs/>
          <w:sz w:val="22"/>
          <w:szCs w:val="22"/>
        </w:rPr>
        <w:t xml:space="preserve">el </w:t>
      </w:r>
      <w:r>
        <w:rPr>
          <w:rFonts w:ascii="Calibri" w:hAnsi="Calibri" w:cs="Arial"/>
          <w:b/>
          <w:bCs/>
          <w:sz w:val="22"/>
          <w:szCs w:val="22"/>
        </w:rPr>
        <w:t>1,76</w:t>
      </w:r>
      <w:r w:rsidRPr="000F0AD6">
        <w:rPr>
          <w:rFonts w:ascii="Calibri" w:hAnsi="Calibri" w:cs="Arial"/>
          <w:b/>
          <w:bCs/>
          <w:sz w:val="22"/>
          <w:szCs w:val="22"/>
        </w:rPr>
        <w:t>%</w:t>
      </w:r>
      <w:r w:rsidRPr="000F0AD6">
        <w:rPr>
          <w:rFonts w:ascii="Calibri" w:hAnsi="Calibri" w:cs="Arial"/>
          <w:bCs/>
          <w:sz w:val="22"/>
          <w:szCs w:val="22"/>
        </w:rPr>
        <w:t xml:space="preserve"> del Presupuesto total.</w:t>
      </w:r>
    </w:p>
    <w:p w:rsidR="00AB338C" w:rsidRDefault="00AB338C" w:rsidP="00AB338C">
      <w:pPr>
        <w:spacing w:before="120" w:line="300" w:lineRule="auto"/>
        <w:ind w:firstLine="709"/>
        <w:jc w:val="both"/>
        <w:rPr>
          <w:rFonts w:ascii="Calibri" w:hAnsi="Calibri" w:cs="Arial"/>
          <w:bCs/>
          <w:sz w:val="22"/>
          <w:szCs w:val="22"/>
        </w:rPr>
      </w:pPr>
    </w:p>
    <w:p w:rsidR="00AB338C" w:rsidRPr="00CE3939" w:rsidRDefault="00AB338C" w:rsidP="00AB338C">
      <w:pPr>
        <w:spacing w:before="120" w:line="300" w:lineRule="auto"/>
        <w:ind w:firstLine="709"/>
        <w:jc w:val="both"/>
        <w:rPr>
          <w:rFonts w:ascii="Calibri" w:hAnsi="Calibri" w:cs="Arial"/>
          <w:bCs/>
          <w:sz w:val="22"/>
          <w:szCs w:val="22"/>
        </w:rPr>
      </w:pPr>
      <w:r>
        <w:rPr>
          <w:rFonts w:ascii="Calibri" w:hAnsi="Calibri" w:cs="Arial"/>
          <w:bCs/>
          <w:sz w:val="22"/>
          <w:szCs w:val="22"/>
        </w:rPr>
        <w:lastRenderedPageBreak/>
        <w:t>El porcentaje de l</w:t>
      </w:r>
      <w:r w:rsidRPr="00CE3939">
        <w:rPr>
          <w:rFonts w:ascii="Calibri" w:hAnsi="Calibri" w:cs="Arial"/>
          <w:bCs/>
          <w:sz w:val="22"/>
          <w:szCs w:val="22"/>
        </w:rPr>
        <w:t xml:space="preserve">os </w:t>
      </w:r>
      <w:r w:rsidRPr="00CE3939">
        <w:rPr>
          <w:rFonts w:ascii="Calibri" w:hAnsi="Calibri" w:cs="Arial"/>
          <w:b/>
          <w:bCs/>
          <w:sz w:val="22"/>
          <w:szCs w:val="22"/>
        </w:rPr>
        <w:t>gastos corrientes</w:t>
      </w:r>
      <w:r w:rsidR="002E41C7">
        <w:rPr>
          <w:rFonts w:ascii="Calibri" w:hAnsi="Calibri" w:cs="Arial"/>
          <w:b/>
          <w:bCs/>
          <w:sz w:val="22"/>
          <w:szCs w:val="22"/>
        </w:rPr>
        <w:t xml:space="preserve"> </w:t>
      </w:r>
      <w:r>
        <w:rPr>
          <w:rFonts w:ascii="Calibri" w:hAnsi="Calibri" w:cs="Arial"/>
          <w:bCs/>
          <w:sz w:val="22"/>
          <w:szCs w:val="22"/>
        </w:rPr>
        <w:t xml:space="preserve">con respecto al </w:t>
      </w:r>
      <w:r w:rsidRPr="00CE3939">
        <w:rPr>
          <w:rFonts w:ascii="Calibri" w:hAnsi="Calibri" w:cs="Arial"/>
          <w:bCs/>
          <w:sz w:val="22"/>
          <w:szCs w:val="22"/>
        </w:rPr>
        <w:t>Presupuesto total del Consorcio</w:t>
      </w:r>
      <w:r w:rsidR="002E41C7">
        <w:rPr>
          <w:rFonts w:ascii="Calibri" w:hAnsi="Calibri" w:cs="Arial"/>
          <w:bCs/>
          <w:sz w:val="22"/>
          <w:szCs w:val="22"/>
        </w:rPr>
        <w:t xml:space="preserve"> </w:t>
      </w:r>
      <w:r>
        <w:rPr>
          <w:rFonts w:ascii="Calibri" w:hAnsi="Calibri" w:cs="Arial"/>
          <w:bCs/>
          <w:sz w:val="22"/>
          <w:szCs w:val="22"/>
        </w:rPr>
        <w:t xml:space="preserve">es del </w:t>
      </w:r>
      <w:r>
        <w:rPr>
          <w:rFonts w:ascii="Calibri" w:hAnsi="Calibri" w:cs="Arial"/>
          <w:b/>
          <w:bCs/>
          <w:sz w:val="22"/>
          <w:szCs w:val="22"/>
        </w:rPr>
        <w:t>90,55</w:t>
      </w:r>
      <w:r w:rsidRPr="00CE3939">
        <w:rPr>
          <w:rFonts w:ascii="Calibri" w:hAnsi="Calibri" w:cs="Arial"/>
          <w:b/>
          <w:bCs/>
          <w:sz w:val="22"/>
          <w:szCs w:val="22"/>
        </w:rPr>
        <w:t>%</w:t>
      </w:r>
      <w:r>
        <w:rPr>
          <w:rFonts w:ascii="Calibri" w:hAnsi="Calibri" w:cs="Arial"/>
          <w:bCs/>
          <w:sz w:val="22"/>
          <w:szCs w:val="22"/>
        </w:rPr>
        <w:t>,</w:t>
      </w:r>
      <w:r w:rsidR="005B1AC5">
        <w:rPr>
          <w:rFonts w:ascii="Calibri" w:hAnsi="Calibri" w:cs="Arial"/>
          <w:bCs/>
          <w:sz w:val="22"/>
          <w:szCs w:val="22"/>
        </w:rPr>
        <w:t xml:space="preserve"> </w:t>
      </w:r>
      <w:r>
        <w:rPr>
          <w:rFonts w:ascii="Calibri" w:hAnsi="Calibri" w:cs="Arial"/>
          <w:bCs/>
          <w:sz w:val="22"/>
          <w:szCs w:val="22"/>
        </w:rPr>
        <w:t>incrementándose con respecto al del ejercicio anterior en 855.691,08 euros. El total de los gastos corrientes para 2020 se cifran en 17.953.786,60 euros.</w:t>
      </w:r>
    </w:p>
    <w:p w:rsidR="00AB338C" w:rsidRPr="00B73E18" w:rsidRDefault="00AB338C" w:rsidP="00AB338C">
      <w:pPr>
        <w:spacing w:before="120" w:line="300" w:lineRule="auto"/>
        <w:ind w:firstLine="709"/>
        <w:jc w:val="both"/>
        <w:rPr>
          <w:rFonts w:ascii="Calibri" w:hAnsi="Calibri" w:cs="Arial"/>
          <w:bCs/>
          <w:color w:val="FF0000"/>
          <w:sz w:val="22"/>
          <w:szCs w:val="22"/>
        </w:rPr>
      </w:pPr>
    </w:p>
    <w:p w:rsidR="00AB338C" w:rsidRPr="007E3091" w:rsidRDefault="00AB338C" w:rsidP="00AB338C">
      <w:pPr>
        <w:pStyle w:val="Prrafodelista"/>
        <w:numPr>
          <w:ilvl w:val="0"/>
          <w:numId w:val="1"/>
        </w:numPr>
        <w:spacing w:before="120" w:line="300" w:lineRule="auto"/>
        <w:jc w:val="both"/>
        <w:rPr>
          <w:rFonts w:ascii="Calibri" w:hAnsi="Calibri" w:cs="Arial"/>
          <w:bCs/>
          <w:sz w:val="22"/>
          <w:szCs w:val="22"/>
        </w:rPr>
      </w:pPr>
      <w:r w:rsidRPr="007E3091">
        <w:rPr>
          <w:rFonts w:ascii="Calibri" w:hAnsi="Calibri" w:cs="Arial"/>
          <w:b/>
          <w:bCs/>
          <w:i/>
          <w:sz w:val="22"/>
          <w:szCs w:val="22"/>
        </w:rPr>
        <w:t>Capítulo VI, Inversiones reales</w:t>
      </w:r>
    </w:p>
    <w:p w:rsidR="00AB338C" w:rsidRDefault="00AB338C" w:rsidP="00AB338C">
      <w:pPr>
        <w:pStyle w:val="Prrafodelista"/>
        <w:spacing w:before="120" w:after="120" w:line="300" w:lineRule="auto"/>
        <w:ind w:left="0" w:firstLine="709"/>
        <w:jc w:val="both"/>
        <w:rPr>
          <w:rFonts w:ascii="Calibri" w:hAnsi="Calibri" w:cs="Arial"/>
          <w:bCs/>
          <w:sz w:val="22"/>
          <w:szCs w:val="22"/>
        </w:rPr>
      </w:pPr>
      <w:r w:rsidRPr="0065004E">
        <w:rPr>
          <w:rFonts w:ascii="Calibri" w:hAnsi="Calibri" w:cs="Arial"/>
          <w:bCs/>
          <w:sz w:val="22"/>
          <w:szCs w:val="22"/>
        </w:rPr>
        <w:t xml:space="preserve">El presupuesto para inversiones de este año </w:t>
      </w:r>
      <w:r>
        <w:rPr>
          <w:rFonts w:ascii="Calibri" w:hAnsi="Calibri" w:cs="Arial"/>
          <w:bCs/>
          <w:sz w:val="22"/>
          <w:szCs w:val="22"/>
        </w:rPr>
        <w:t xml:space="preserve">es de 1.651.095,92 euros, </w:t>
      </w:r>
      <w:r w:rsidRPr="0065004E">
        <w:rPr>
          <w:rFonts w:ascii="Calibri" w:hAnsi="Calibri" w:cs="Arial"/>
          <w:bCs/>
          <w:sz w:val="22"/>
          <w:szCs w:val="22"/>
        </w:rPr>
        <w:t>lo que supone un</w:t>
      </w:r>
      <w:r>
        <w:rPr>
          <w:rFonts w:ascii="Calibri" w:hAnsi="Calibri" w:cs="Arial"/>
          <w:bCs/>
          <w:sz w:val="22"/>
          <w:szCs w:val="22"/>
        </w:rPr>
        <w:t>a</w:t>
      </w:r>
      <w:r w:rsidR="002E41C7">
        <w:rPr>
          <w:rFonts w:ascii="Calibri" w:hAnsi="Calibri" w:cs="Arial"/>
          <w:bCs/>
          <w:sz w:val="22"/>
          <w:szCs w:val="22"/>
        </w:rPr>
        <w:t xml:space="preserve"> </w:t>
      </w:r>
      <w:r>
        <w:rPr>
          <w:rFonts w:ascii="Calibri" w:hAnsi="Calibri" w:cs="Arial"/>
          <w:bCs/>
          <w:sz w:val="22"/>
          <w:szCs w:val="22"/>
        </w:rPr>
        <w:t>disminución</w:t>
      </w:r>
      <w:r w:rsidRPr="0065004E">
        <w:rPr>
          <w:rFonts w:ascii="Calibri" w:hAnsi="Calibri" w:cs="Arial"/>
          <w:bCs/>
          <w:sz w:val="22"/>
          <w:szCs w:val="22"/>
        </w:rPr>
        <w:t xml:space="preserve"> del </w:t>
      </w:r>
      <w:r>
        <w:rPr>
          <w:rFonts w:ascii="Calibri" w:hAnsi="Calibri" w:cs="Arial"/>
          <w:bCs/>
          <w:sz w:val="22"/>
          <w:szCs w:val="22"/>
        </w:rPr>
        <w:t>14,38</w:t>
      </w:r>
      <w:r w:rsidRPr="0065004E">
        <w:rPr>
          <w:rFonts w:ascii="Calibri" w:hAnsi="Calibri" w:cs="Arial"/>
          <w:bCs/>
          <w:sz w:val="22"/>
          <w:szCs w:val="22"/>
        </w:rPr>
        <w:t>% con respecto al 201</w:t>
      </w:r>
      <w:r>
        <w:rPr>
          <w:rFonts w:ascii="Calibri" w:hAnsi="Calibri" w:cs="Arial"/>
          <w:bCs/>
          <w:sz w:val="22"/>
          <w:szCs w:val="22"/>
        </w:rPr>
        <w:t>9</w:t>
      </w:r>
      <w:r w:rsidRPr="0065004E">
        <w:rPr>
          <w:rFonts w:ascii="Calibri" w:hAnsi="Calibri" w:cs="Arial"/>
          <w:bCs/>
          <w:sz w:val="22"/>
          <w:szCs w:val="22"/>
        </w:rPr>
        <w:t>, es decir,</w:t>
      </w:r>
      <w:r w:rsidR="002E41C7">
        <w:rPr>
          <w:rFonts w:ascii="Calibri" w:hAnsi="Calibri" w:cs="Arial"/>
          <w:bCs/>
          <w:sz w:val="22"/>
          <w:szCs w:val="22"/>
        </w:rPr>
        <w:t xml:space="preserve"> </w:t>
      </w:r>
      <w:r>
        <w:rPr>
          <w:rFonts w:ascii="Calibri" w:hAnsi="Calibri" w:cs="Arial"/>
          <w:bCs/>
          <w:sz w:val="22"/>
          <w:szCs w:val="22"/>
        </w:rPr>
        <w:t>277.188,50</w:t>
      </w:r>
      <w:r w:rsidRPr="0065004E">
        <w:rPr>
          <w:rFonts w:ascii="Calibri" w:hAnsi="Calibri" w:cs="Arial"/>
          <w:bCs/>
          <w:sz w:val="22"/>
          <w:szCs w:val="22"/>
        </w:rPr>
        <w:t xml:space="preserve"> euros m</w:t>
      </w:r>
      <w:r>
        <w:rPr>
          <w:rFonts w:ascii="Calibri" w:hAnsi="Calibri" w:cs="Arial"/>
          <w:bCs/>
          <w:sz w:val="22"/>
          <w:szCs w:val="22"/>
        </w:rPr>
        <w:t>enos</w:t>
      </w:r>
      <w:r w:rsidRPr="0065004E">
        <w:rPr>
          <w:rFonts w:ascii="Calibri" w:hAnsi="Calibri" w:cs="Arial"/>
          <w:bCs/>
          <w:sz w:val="22"/>
          <w:szCs w:val="22"/>
        </w:rPr>
        <w:t>.</w:t>
      </w:r>
    </w:p>
    <w:p w:rsidR="00AB338C" w:rsidRDefault="00AB338C" w:rsidP="00AB338C">
      <w:pPr>
        <w:pStyle w:val="Prrafodelista"/>
        <w:spacing w:before="120" w:after="120" w:line="300" w:lineRule="auto"/>
        <w:ind w:left="0" w:firstLine="709"/>
        <w:jc w:val="both"/>
        <w:rPr>
          <w:rFonts w:ascii="Calibri" w:hAnsi="Calibri" w:cs="Arial"/>
          <w:bCs/>
          <w:sz w:val="22"/>
          <w:szCs w:val="22"/>
        </w:rPr>
      </w:pPr>
    </w:p>
    <w:tbl>
      <w:tblPr>
        <w:tblStyle w:val="Tablaconcuadrcula"/>
        <w:tblW w:w="8477" w:type="dxa"/>
        <w:jc w:val="center"/>
        <w:tblLook w:val="04A0"/>
      </w:tblPr>
      <w:tblGrid>
        <w:gridCol w:w="4219"/>
        <w:gridCol w:w="1593"/>
        <w:gridCol w:w="1559"/>
        <w:gridCol w:w="1106"/>
      </w:tblGrid>
      <w:tr w:rsidR="00AB338C" w:rsidRPr="00250004" w:rsidTr="00AB338C">
        <w:trPr>
          <w:jc w:val="center"/>
        </w:trPr>
        <w:tc>
          <w:tcPr>
            <w:tcW w:w="4219" w:type="dxa"/>
          </w:tcPr>
          <w:p w:rsidR="00AB338C" w:rsidRPr="00250004" w:rsidRDefault="00AB338C" w:rsidP="00AB338C">
            <w:pPr>
              <w:spacing w:line="300" w:lineRule="auto"/>
              <w:jc w:val="center"/>
              <w:rPr>
                <w:rFonts w:ascii="Calibri" w:hAnsi="Calibri" w:cs="Arial"/>
                <w:b/>
                <w:bCs/>
              </w:rPr>
            </w:pPr>
            <w:r w:rsidRPr="00250004">
              <w:rPr>
                <w:rFonts w:ascii="Calibri" w:hAnsi="Calibri" w:cs="Arial"/>
                <w:b/>
                <w:bCs/>
              </w:rPr>
              <w:t>Clasificación económica por artículos</w:t>
            </w:r>
          </w:p>
        </w:tc>
        <w:tc>
          <w:tcPr>
            <w:tcW w:w="1593" w:type="dxa"/>
            <w:vAlign w:val="center"/>
          </w:tcPr>
          <w:p w:rsidR="00AB338C" w:rsidRDefault="00AB338C" w:rsidP="00AB338C">
            <w:pPr>
              <w:autoSpaceDE/>
              <w:autoSpaceDN/>
              <w:jc w:val="right"/>
              <w:rPr>
                <w:rFonts w:ascii="Calibri" w:hAnsi="Calibri"/>
                <w:b/>
                <w:bCs/>
                <w:color w:val="000000"/>
              </w:rPr>
            </w:pPr>
            <w:r>
              <w:rPr>
                <w:rFonts w:ascii="Calibri" w:hAnsi="Calibri" w:cs="Arial"/>
                <w:b/>
                <w:bCs/>
                <w:color w:val="000000"/>
              </w:rPr>
              <w:t>2020</w:t>
            </w:r>
          </w:p>
        </w:tc>
        <w:tc>
          <w:tcPr>
            <w:tcW w:w="1559" w:type="dxa"/>
            <w:vAlign w:val="center"/>
          </w:tcPr>
          <w:p w:rsidR="00AB338C" w:rsidRDefault="00AB338C" w:rsidP="00AB338C">
            <w:pPr>
              <w:jc w:val="right"/>
              <w:rPr>
                <w:rFonts w:ascii="Calibri" w:hAnsi="Calibri"/>
                <w:b/>
                <w:bCs/>
                <w:color w:val="000000"/>
              </w:rPr>
            </w:pPr>
            <w:r>
              <w:rPr>
                <w:rFonts w:ascii="Calibri" w:hAnsi="Calibri" w:cs="Arial"/>
                <w:b/>
                <w:bCs/>
                <w:color w:val="000000"/>
              </w:rPr>
              <w:t>2019</w:t>
            </w:r>
          </w:p>
        </w:tc>
        <w:tc>
          <w:tcPr>
            <w:tcW w:w="1106" w:type="dxa"/>
            <w:vAlign w:val="center"/>
          </w:tcPr>
          <w:p w:rsidR="00AB338C" w:rsidRDefault="00AB338C" w:rsidP="00AB338C">
            <w:pPr>
              <w:jc w:val="right"/>
              <w:rPr>
                <w:rFonts w:ascii="Calibri" w:hAnsi="Calibri"/>
                <w:b/>
                <w:bCs/>
                <w:color w:val="000000"/>
              </w:rPr>
            </w:pPr>
            <w:r>
              <w:rPr>
                <w:rFonts w:ascii="Calibri" w:hAnsi="Calibri" w:cs="Arial"/>
                <w:b/>
                <w:bCs/>
                <w:color w:val="000000"/>
              </w:rPr>
              <w:t>%</w:t>
            </w:r>
          </w:p>
        </w:tc>
      </w:tr>
      <w:tr w:rsidR="00AB338C" w:rsidRPr="00250004" w:rsidTr="00AB338C">
        <w:trPr>
          <w:jc w:val="center"/>
        </w:trPr>
        <w:tc>
          <w:tcPr>
            <w:tcW w:w="4219" w:type="dxa"/>
            <w:vAlign w:val="center"/>
          </w:tcPr>
          <w:p w:rsidR="00AB338C" w:rsidRPr="00250004" w:rsidRDefault="00AB338C" w:rsidP="00AB338C">
            <w:pPr>
              <w:spacing w:line="300" w:lineRule="auto"/>
              <w:rPr>
                <w:rFonts w:ascii="Calibri" w:hAnsi="Calibri" w:cs="Arial"/>
                <w:bCs/>
              </w:rPr>
            </w:pPr>
            <w:r w:rsidRPr="00250004">
              <w:rPr>
                <w:rFonts w:ascii="Calibri" w:hAnsi="Calibri" w:cs="Arial"/>
                <w:bCs/>
              </w:rPr>
              <w:t>62 Inversión nueva asociada al funcionamiento operativo de los servicios</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1.515.595,92</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1.787.226,00</w:t>
            </w:r>
          </w:p>
        </w:tc>
        <w:tc>
          <w:tcPr>
            <w:tcW w:w="1106" w:type="dxa"/>
            <w:vAlign w:val="center"/>
          </w:tcPr>
          <w:p w:rsidR="00AB338C" w:rsidRDefault="00AB338C" w:rsidP="00AB338C">
            <w:pPr>
              <w:jc w:val="right"/>
              <w:rPr>
                <w:rFonts w:ascii="Calibri" w:hAnsi="Calibri"/>
                <w:color w:val="000000"/>
              </w:rPr>
            </w:pPr>
            <w:r>
              <w:rPr>
                <w:rFonts w:ascii="Calibri" w:hAnsi="Calibri" w:cs="Arial"/>
                <w:bCs/>
                <w:color w:val="000000"/>
              </w:rPr>
              <w:t>-15,20%</w:t>
            </w:r>
          </w:p>
        </w:tc>
      </w:tr>
      <w:tr w:rsidR="00AB338C" w:rsidRPr="00250004" w:rsidTr="00AB338C">
        <w:trPr>
          <w:jc w:val="center"/>
        </w:trPr>
        <w:tc>
          <w:tcPr>
            <w:tcW w:w="4219" w:type="dxa"/>
            <w:vAlign w:val="center"/>
          </w:tcPr>
          <w:p w:rsidR="00AB338C" w:rsidRPr="00250004" w:rsidRDefault="00AB338C" w:rsidP="00AB338C">
            <w:pPr>
              <w:spacing w:line="300" w:lineRule="auto"/>
              <w:rPr>
                <w:rFonts w:ascii="Calibri" w:hAnsi="Calibri" w:cs="Arial"/>
                <w:bCs/>
              </w:rPr>
            </w:pPr>
            <w:r w:rsidRPr="00250004">
              <w:rPr>
                <w:rFonts w:ascii="Calibri" w:hAnsi="Calibri" w:cs="Arial"/>
                <w:bCs/>
              </w:rPr>
              <w:t>63 inversión reposición asociada al funcionamiento operativo de los servicios</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43.100,00</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141.058,42</w:t>
            </w:r>
          </w:p>
        </w:tc>
        <w:tc>
          <w:tcPr>
            <w:tcW w:w="1106" w:type="dxa"/>
            <w:vAlign w:val="center"/>
          </w:tcPr>
          <w:p w:rsidR="00AB338C" w:rsidRDefault="00AB338C" w:rsidP="00AB338C">
            <w:pPr>
              <w:jc w:val="right"/>
              <w:rPr>
                <w:rFonts w:ascii="Calibri" w:hAnsi="Calibri"/>
                <w:color w:val="000000"/>
              </w:rPr>
            </w:pPr>
            <w:r>
              <w:rPr>
                <w:rFonts w:ascii="Calibri" w:hAnsi="Calibri" w:cs="Arial"/>
                <w:bCs/>
                <w:color w:val="000000"/>
              </w:rPr>
              <w:t>-69,45%</w:t>
            </w:r>
          </w:p>
        </w:tc>
      </w:tr>
      <w:tr w:rsidR="00AB338C" w:rsidRPr="00250004" w:rsidTr="00AB338C">
        <w:trPr>
          <w:jc w:val="center"/>
        </w:trPr>
        <w:tc>
          <w:tcPr>
            <w:tcW w:w="4219" w:type="dxa"/>
            <w:vAlign w:val="center"/>
          </w:tcPr>
          <w:p w:rsidR="00AB338C" w:rsidRPr="00250004" w:rsidRDefault="00AB338C" w:rsidP="00AB338C">
            <w:pPr>
              <w:spacing w:line="300" w:lineRule="auto"/>
              <w:rPr>
                <w:rFonts w:ascii="Calibri" w:hAnsi="Calibri" w:cs="Arial"/>
                <w:bCs/>
              </w:rPr>
            </w:pPr>
            <w:r w:rsidRPr="00250004">
              <w:rPr>
                <w:rFonts w:ascii="Calibri" w:hAnsi="Calibri" w:cs="Arial"/>
                <w:bCs/>
              </w:rPr>
              <w:t>64 Gastos en inversiones de carácter inmaterial</w:t>
            </w:r>
          </w:p>
        </w:tc>
        <w:tc>
          <w:tcPr>
            <w:tcW w:w="1593" w:type="dxa"/>
            <w:vAlign w:val="center"/>
          </w:tcPr>
          <w:p w:rsidR="00AB338C" w:rsidRDefault="00AB338C" w:rsidP="00AB338C">
            <w:pPr>
              <w:jc w:val="right"/>
              <w:rPr>
                <w:rFonts w:ascii="Calibri" w:hAnsi="Calibri"/>
                <w:color w:val="000000"/>
              </w:rPr>
            </w:pPr>
            <w:r>
              <w:rPr>
                <w:rFonts w:ascii="Calibri" w:hAnsi="Calibri" w:cs="Arial"/>
                <w:bCs/>
                <w:color w:val="000000"/>
              </w:rPr>
              <w:t>92.400,00</w:t>
            </w:r>
          </w:p>
        </w:tc>
        <w:tc>
          <w:tcPr>
            <w:tcW w:w="1559" w:type="dxa"/>
            <w:vAlign w:val="center"/>
          </w:tcPr>
          <w:p w:rsidR="00AB338C" w:rsidRDefault="00AB338C" w:rsidP="00AB338C">
            <w:pPr>
              <w:jc w:val="right"/>
              <w:rPr>
                <w:rFonts w:ascii="Calibri" w:hAnsi="Calibri"/>
                <w:color w:val="000000"/>
              </w:rPr>
            </w:pPr>
            <w:r>
              <w:rPr>
                <w:rFonts w:ascii="Calibri" w:hAnsi="Calibri" w:cs="Arial"/>
                <w:bCs/>
                <w:color w:val="000000"/>
              </w:rPr>
              <w:t>0,00</w:t>
            </w:r>
          </w:p>
        </w:tc>
        <w:tc>
          <w:tcPr>
            <w:tcW w:w="1106" w:type="dxa"/>
            <w:vAlign w:val="center"/>
          </w:tcPr>
          <w:p w:rsidR="00AB338C" w:rsidRDefault="00AB338C" w:rsidP="00AB338C">
            <w:pPr>
              <w:jc w:val="right"/>
              <w:rPr>
                <w:rFonts w:ascii="Calibri" w:hAnsi="Calibri"/>
                <w:color w:val="000000"/>
              </w:rPr>
            </w:pPr>
            <w:r>
              <w:rPr>
                <w:rFonts w:ascii="Calibri" w:hAnsi="Calibri"/>
                <w:color w:val="000000"/>
              </w:rPr>
              <w:t>-</w:t>
            </w:r>
          </w:p>
        </w:tc>
      </w:tr>
      <w:tr w:rsidR="00AB338C" w:rsidRPr="00250004" w:rsidTr="00AB338C">
        <w:trPr>
          <w:jc w:val="center"/>
        </w:trPr>
        <w:tc>
          <w:tcPr>
            <w:tcW w:w="4219" w:type="dxa"/>
            <w:vAlign w:val="center"/>
          </w:tcPr>
          <w:p w:rsidR="00AB338C" w:rsidRPr="00250004" w:rsidRDefault="00AB338C" w:rsidP="00AB338C">
            <w:pPr>
              <w:spacing w:line="300" w:lineRule="auto"/>
              <w:rPr>
                <w:rFonts w:ascii="Calibri" w:hAnsi="Calibri" w:cs="Arial"/>
                <w:b/>
                <w:bCs/>
              </w:rPr>
            </w:pPr>
          </w:p>
        </w:tc>
        <w:tc>
          <w:tcPr>
            <w:tcW w:w="1593" w:type="dxa"/>
            <w:vAlign w:val="center"/>
          </w:tcPr>
          <w:p w:rsidR="00AB338C" w:rsidRDefault="00AB338C" w:rsidP="00AB338C">
            <w:pPr>
              <w:jc w:val="right"/>
              <w:rPr>
                <w:rFonts w:ascii="Calibri" w:hAnsi="Calibri"/>
                <w:b/>
                <w:bCs/>
                <w:color w:val="000000"/>
              </w:rPr>
            </w:pPr>
            <w:r>
              <w:rPr>
                <w:rFonts w:ascii="Calibri" w:hAnsi="Calibri" w:cs="Arial"/>
                <w:b/>
                <w:bCs/>
                <w:color w:val="000000"/>
              </w:rPr>
              <w:t>1.651.095,92</w:t>
            </w:r>
          </w:p>
        </w:tc>
        <w:tc>
          <w:tcPr>
            <w:tcW w:w="1559" w:type="dxa"/>
            <w:vAlign w:val="center"/>
          </w:tcPr>
          <w:p w:rsidR="00AB338C" w:rsidRDefault="00AB338C" w:rsidP="00AB338C">
            <w:pPr>
              <w:jc w:val="right"/>
              <w:rPr>
                <w:rFonts w:ascii="Calibri" w:hAnsi="Calibri"/>
                <w:b/>
                <w:bCs/>
                <w:color w:val="000000"/>
              </w:rPr>
            </w:pPr>
            <w:r>
              <w:rPr>
                <w:rFonts w:ascii="Calibri" w:hAnsi="Calibri" w:cs="Arial"/>
                <w:b/>
                <w:bCs/>
                <w:color w:val="000000"/>
              </w:rPr>
              <w:t>1.928.284,42</w:t>
            </w:r>
          </w:p>
        </w:tc>
        <w:tc>
          <w:tcPr>
            <w:tcW w:w="1106" w:type="dxa"/>
            <w:vAlign w:val="center"/>
          </w:tcPr>
          <w:p w:rsidR="00AB338C" w:rsidRDefault="00AB338C" w:rsidP="00AB338C">
            <w:pPr>
              <w:jc w:val="right"/>
              <w:rPr>
                <w:rFonts w:ascii="Calibri" w:hAnsi="Calibri"/>
                <w:b/>
                <w:bCs/>
                <w:color w:val="000000"/>
              </w:rPr>
            </w:pPr>
            <w:r>
              <w:rPr>
                <w:rFonts w:ascii="Calibri" w:hAnsi="Calibri"/>
                <w:b/>
                <w:bCs/>
                <w:color w:val="000000"/>
              </w:rPr>
              <w:t>-14,37%</w:t>
            </w:r>
          </w:p>
        </w:tc>
      </w:tr>
    </w:tbl>
    <w:p w:rsidR="00AB338C" w:rsidRDefault="00AB338C" w:rsidP="00AB338C">
      <w:pPr>
        <w:pStyle w:val="Prrafodelista"/>
        <w:spacing w:before="120" w:after="120" w:line="300" w:lineRule="auto"/>
        <w:ind w:left="0" w:firstLine="567"/>
        <w:jc w:val="both"/>
        <w:rPr>
          <w:rFonts w:ascii="Calibri" w:hAnsi="Calibri" w:cs="Arial"/>
          <w:bCs/>
          <w:sz w:val="22"/>
          <w:szCs w:val="22"/>
        </w:rPr>
      </w:pPr>
    </w:p>
    <w:p w:rsidR="00AB338C" w:rsidRDefault="00AB338C" w:rsidP="00AB338C">
      <w:pPr>
        <w:pStyle w:val="Prrafodelista"/>
        <w:spacing w:after="120" w:line="300" w:lineRule="auto"/>
        <w:ind w:left="0" w:firstLine="709"/>
        <w:jc w:val="both"/>
        <w:rPr>
          <w:rFonts w:ascii="Calibri" w:hAnsi="Calibri" w:cs="Arial"/>
          <w:bCs/>
          <w:sz w:val="22"/>
          <w:szCs w:val="22"/>
        </w:rPr>
      </w:pPr>
      <w:r>
        <w:rPr>
          <w:rFonts w:ascii="Calibri" w:hAnsi="Calibri" w:cs="Arial"/>
          <w:bCs/>
          <w:sz w:val="22"/>
          <w:szCs w:val="22"/>
        </w:rPr>
        <w:t>Como se ha explicado anteriormente, para este ejercicio se vuelve a presupuestar la inversión para el nuevo Parque de Bomberos de Güímar por importe de 378.900,00 euros, cuya puesta en funcionamiento se prevé para la segunda mitad de 2020, y que será financiada íntegramente por el Cabildo de Tenerife. En ella se incluye obras de acondicionamiento del edificio, mobiliario, herramientas, equipos de gimnasio, material técnico operativo…</w:t>
      </w:r>
    </w:p>
    <w:p w:rsidR="00AB338C" w:rsidRDefault="00AB338C" w:rsidP="00AB338C">
      <w:pPr>
        <w:pStyle w:val="Prrafodelista"/>
        <w:spacing w:after="120" w:line="300" w:lineRule="auto"/>
        <w:ind w:left="0" w:firstLine="709"/>
        <w:jc w:val="both"/>
        <w:rPr>
          <w:rFonts w:ascii="Calibri" w:hAnsi="Calibri" w:cs="Arial"/>
          <w:bCs/>
          <w:sz w:val="22"/>
          <w:szCs w:val="22"/>
        </w:rPr>
      </w:pPr>
    </w:p>
    <w:p w:rsidR="00AB338C" w:rsidRDefault="00AB338C" w:rsidP="00AB338C">
      <w:pPr>
        <w:pStyle w:val="Prrafodelista"/>
        <w:spacing w:before="120" w:after="120" w:line="300" w:lineRule="auto"/>
        <w:ind w:left="0" w:firstLine="709"/>
        <w:jc w:val="both"/>
        <w:rPr>
          <w:rFonts w:ascii="Calibri" w:hAnsi="Calibri" w:cs="Arial"/>
          <w:bCs/>
          <w:sz w:val="22"/>
          <w:szCs w:val="22"/>
        </w:rPr>
      </w:pPr>
      <w:r>
        <w:rPr>
          <w:rFonts w:ascii="Calibri" w:hAnsi="Calibri" w:cs="Arial"/>
          <w:bCs/>
          <w:sz w:val="22"/>
          <w:szCs w:val="22"/>
        </w:rPr>
        <w:t>En cuanto a las inversiones previstas para los Parques actuales, destacan las siguientes:</w:t>
      </w:r>
    </w:p>
    <w:p w:rsidR="00AB338C" w:rsidRPr="00A603F9" w:rsidRDefault="00AB338C" w:rsidP="00AB338C">
      <w:pPr>
        <w:pStyle w:val="Prrafodelista"/>
        <w:spacing w:before="120" w:after="120" w:line="300" w:lineRule="auto"/>
        <w:ind w:left="0" w:firstLine="709"/>
        <w:jc w:val="both"/>
        <w:rPr>
          <w:rFonts w:ascii="Calibri" w:hAnsi="Calibri" w:cs="Arial"/>
          <w:bCs/>
          <w:sz w:val="22"/>
          <w:szCs w:val="22"/>
        </w:rPr>
      </w:pPr>
    </w:p>
    <w:p w:rsidR="00AB338C" w:rsidRDefault="00AB338C" w:rsidP="00AB338C">
      <w:pPr>
        <w:pStyle w:val="Prrafodelista"/>
        <w:numPr>
          <w:ilvl w:val="0"/>
          <w:numId w:val="1"/>
        </w:numPr>
        <w:spacing w:before="120" w:line="300" w:lineRule="auto"/>
        <w:ind w:left="709" w:firstLine="0"/>
        <w:jc w:val="both"/>
        <w:rPr>
          <w:rFonts w:ascii="Calibri" w:hAnsi="Calibri" w:cs="Arial"/>
          <w:bCs/>
          <w:sz w:val="22"/>
          <w:szCs w:val="22"/>
        </w:rPr>
      </w:pPr>
      <w:r>
        <w:rPr>
          <w:rFonts w:ascii="Calibri" w:hAnsi="Calibri" w:cs="Arial"/>
          <w:bCs/>
          <w:sz w:val="22"/>
          <w:szCs w:val="22"/>
        </w:rPr>
        <w:t>Cuatro</w:t>
      </w:r>
      <w:r w:rsidR="002E41C7">
        <w:rPr>
          <w:rFonts w:ascii="Calibri" w:hAnsi="Calibri" w:cs="Arial"/>
          <w:bCs/>
          <w:sz w:val="22"/>
          <w:szCs w:val="22"/>
        </w:rPr>
        <w:t xml:space="preserve"> </w:t>
      </w:r>
      <w:r w:rsidRPr="00282C15">
        <w:rPr>
          <w:rFonts w:ascii="Calibri" w:hAnsi="Calibri" w:cs="Arial"/>
          <w:bCs/>
          <w:sz w:val="22"/>
          <w:szCs w:val="22"/>
        </w:rPr>
        <w:t xml:space="preserve">vehículos de emergencias: </w:t>
      </w:r>
      <w:r>
        <w:rPr>
          <w:rFonts w:ascii="Calibri" w:hAnsi="Calibri" w:cs="Arial"/>
          <w:bCs/>
          <w:sz w:val="22"/>
          <w:szCs w:val="22"/>
        </w:rPr>
        <w:t>un vehículo autobomba pesada (BUP) para el Parque de San Miguel, dos unidades de rescate en montaña (URE) para los parques de Santa Cruz y La Laguna, un vehículo ligero tipo 4x4 para la Gerencia, por importe de 659.835,12 euros</w:t>
      </w:r>
      <w:r w:rsidRPr="00282C15">
        <w:rPr>
          <w:rFonts w:ascii="Calibri" w:hAnsi="Calibri" w:cs="Arial"/>
          <w:bCs/>
          <w:sz w:val="22"/>
          <w:szCs w:val="22"/>
        </w:rPr>
        <w:t xml:space="preserve">. </w:t>
      </w:r>
    </w:p>
    <w:p w:rsidR="00AB338C" w:rsidRPr="00282C15" w:rsidRDefault="00AB338C" w:rsidP="00AB338C">
      <w:pPr>
        <w:pStyle w:val="Prrafodelista"/>
        <w:numPr>
          <w:ilvl w:val="0"/>
          <w:numId w:val="1"/>
        </w:numPr>
        <w:spacing w:before="120" w:line="300" w:lineRule="auto"/>
        <w:ind w:left="709" w:firstLine="0"/>
        <w:jc w:val="both"/>
        <w:rPr>
          <w:rFonts w:ascii="Calibri" w:hAnsi="Calibri" w:cs="Arial"/>
          <w:bCs/>
          <w:sz w:val="22"/>
          <w:szCs w:val="22"/>
        </w:rPr>
      </w:pPr>
      <w:r>
        <w:rPr>
          <w:rFonts w:ascii="Calibri" w:hAnsi="Calibri" w:cs="Arial"/>
          <w:bCs/>
          <w:sz w:val="22"/>
          <w:szCs w:val="22"/>
        </w:rPr>
        <w:t>Dotar a todos los vehículos de bocinas, rotativos y luces estroboscópicas nuevas, en cumplimiento de la nueva legislación, 16.000 euros.</w:t>
      </w:r>
    </w:p>
    <w:p w:rsidR="00AB338C" w:rsidRDefault="00AB338C" w:rsidP="00AB338C">
      <w:pPr>
        <w:pStyle w:val="Prrafodelista"/>
        <w:numPr>
          <w:ilvl w:val="0"/>
          <w:numId w:val="1"/>
        </w:numPr>
        <w:spacing w:before="120" w:line="300" w:lineRule="auto"/>
        <w:ind w:left="709" w:firstLine="0"/>
        <w:jc w:val="both"/>
        <w:rPr>
          <w:rFonts w:ascii="Calibri" w:hAnsi="Calibri" w:cs="Arial"/>
          <w:bCs/>
          <w:sz w:val="22"/>
          <w:szCs w:val="22"/>
        </w:rPr>
      </w:pPr>
      <w:r w:rsidRPr="00282C15">
        <w:rPr>
          <w:rFonts w:ascii="Calibri" w:hAnsi="Calibri" w:cs="Arial"/>
          <w:bCs/>
          <w:sz w:val="22"/>
          <w:szCs w:val="22"/>
        </w:rPr>
        <w:t xml:space="preserve">Inversiones de material técnico operativo por importe total del </w:t>
      </w:r>
      <w:r>
        <w:rPr>
          <w:rFonts w:ascii="Calibri" w:hAnsi="Calibri" w:cs="Arial"/>
          <w:bCs/>
          <w:sz w:val="22"/>
          <w:szCs w:val="22"/>
        </w:rPr>
        <w:t>175.815,00</w:t>
      </w:r>
      <w:r w:rsidRPr="00282C15">
        <w:rPr>
          <w:rFonts w:ascii="Calibri" w:hAnsi="Calibri" w:cs="Arial"/>
          <w:bCs/>
          <w:sz w:val="22"/>
          <w:szCs w:val="22"/>
        </w:rPr>
        <w:t xml:space="preserve"> euros (</w:t>
      </w:r>
      <w:r>
        <w:rPr>
          <w:rFonts w:ascii="Calibri" w:hAnsi="Calibri" w:cs="Arial"/>
          <w:bCs/>
          <w:sz w:val="22"/>
          <w:szCs w:val="22"/>
        </w:rPr>
        <w:t>electrobombas, puntales de estabilización, grupos electrógenos, equipos de respiración autónoma (ERA´s), colchón de vacío, ...)</w:t>
      </w:r>
    </w:p>
    <w:p w:rsidR="00AB338C" w:rsidRDefault="00AB338C" w:rsidP="00AB338C">
      <w:pPr>
        <w:pStyle w:val="Prrafodelista"/>
        <w:numPr>
          <w:ilvl w:val="0"/>
          <w:numId w:val="1"/>
        </w:numPr>
        <w:spacing w:before="120" w:line="300" w:lineRule="auto"/>
        <w:ind w:left="709" w:firstLine="0"/>
        <w:jc w:val="both"/>
        <w:rPr>
          <w:rFonts w:ascii="Calibri" w:hAnsi="Calibri" w:cs="Arial"/>
          <w:bCs/>
          <w:sz w:val="22"/>
          <w:szCs w:val="22"/>
        </w:rPr>
      </w:pPr>
      <w:r>
        <w:rPr>
          <w:rFonts w:ascii="Calibri" w:hAnsi="Calibri" w:cs="Arial"/>
          <w:bCs/>
          <w:sz w:val="22"/>
          <w:szCs w:val="22"/>
        </w:rPr>
        <w:t>Maquinaria y Herramientas (Elevadores de columna independiente, herramientas de excarcelación,…), que asciende a 40.000,00 euros.</w:t>
      </w:r>
    </w:p>
    <w:p w:rsidR="00AB338C" w:rsidRPr="00282C15" w:rsidRDefault="00AB338C" w:rsidP="00AB338C">
      <w:pPr>
        <w:pStyle w:val="Prrafodelista"/>
        <w:numPr>
          <w:ilvl w:val="0"/>
          <w:numId w:val="1"/>
        </w:numPr>
        <w:spacing w:before="120" w:line="300" w:lineRule="auto"/>
        <w:ind w:left="709" w:firstLine="0"/>
        <w:jc w:val="both"/>
        <w:rPr>
          <w:rFonts w:ascii="Calibri" w:hAnsi="Calibri" w:cs="Arial"/>
          <w:bCs/>
          <w:sz w:val="22"/>
          <w:szCs w:val="22"/>
        </w:rPr>
      </w:pPr>
      <w:r>
        <w:rPr>
          <w:rFonts w:ascii="Calibri" w:hAnsi="Calibri" w:cs="Arial"/>
          <w:bCs/>
          <w:sz w:val="22"/>
          <w:szCs w:val="22"/>
        </w:rPr>
        <w:t>Obras auxiliares en los Parques de La Orotava, San Miguel y La Laguna (puerta acceso a zona maniobra, edificación junto al gimnasio, reforma de acceso al edificio por la cochera, …). Este importe asciende a 105.345,80 euros.</w:t>
      </w:r>
    </w:p>
    <w:p w:rsidR="00AB338C" w:rsidRPr="00282C15" w:rsidRDefault="00AB338C" w:rsidP="00AB338C">
      <w:pPr>
        <w:pStyle w:val="Prrafodelista"/>
        <w:numPr>
          <w:ilvl w:val="0"/>
          <w:numId w:val="1"/>
        </w:numPr>
        <w:spacing w:before="120" w:line="300" w:lineRule="auto"/>
        <w:ind w:left="709" w:firstLine="0"/>
        <w:jc w:val="both"/>
        <w:rPr>
          <w:rFonts w:ascii="Calibri" w:hAnsi="Calibri" w:cs="Arial"/>
          <w:bCs/>
          <w:sz w:val="22"/>
          <w:szCs w:val="22"/>
        </w:rPr>
      </w:pPr>
      <w:r w:rsidRPr="00282C15">
        <w:rPr>
          <w:rFonts w:ascii="Calibri" w:hAnsi="Calibri" w:cs="Arial"/>
          <w:bCs/>
          <w:sz w:val="22"/>
          <w:szCs w:val="22"/>
        </w:rPr>
        <w:lastRenderedPageBreak/>
        <w:t>Obras de rehabilitación de</w:t>
      </w:r>
      <w:r w:rsidR="002E41C7">
        <w:rPr>
          <w:rFonts w:ascii="Calibri" w:hAnsi="Calibri" w:cs="Arial"/>
          <w:bCs/>
          <w:sz w:val="22"/>
          <w:szCs w:val="22"/>
        </w:rPr>
        <w:t xml:space="preserve"> </w:t>
      </w:r>
      <w:r w:rsidRPr="00282C15">
        <w:rPr>
          <w:rFonts w:ascii="Calibri" w:hAnsi="Calibri" w:cs="Arial"/>
          <w:bCs/>
          <w:sz w:val="22"/>
          <w:szCs w:val="22"/>
        </w:rPr>
        <w:t>l</w:t>
      </w:r>
      <w:r>
        <w:rPr>
          <w:rFonts w:ascii="Calibri" w:hAnsi="Calibri" w:cs="Arial"/>
          <w:bCs/>
          <w:sz w:val="22"/>
          <w:szCs w:val="22"/>
        </w:rPr>
        <w:t xml:space="preserve">os Parques de Icod </w:t>
      </w:r>
      <w:r w:rsidRPr="00282C15">
        <w:rPr>
          <w:rFonts w:ascii="Calibri" w:hAnsi="Calibri" w:cs="Arial"/>
          <w:bCs/>
          <w:sz w:val="22"/>
          <w:szCs w:val="22"/>
        </w:rPr>
        <w:t xml:space="preserve">por importe de </w:t>
      </w:r>
      <w:r>
        <w:rPr>
          <w:rFonts w:ascii="Calibri" w:hAnsi="Calibri" w:cs="Arial"/>
          <w:bCs/>
          <w:sz w:val="22"/>
          <w:szCs w:val="22"/>
        </w:rPr>
        <w:t>35.000,00</w:t>
      </w:r>
      <w:r w:rsidRPr="00282C15">
        <w:rPr>
          <w:rFonts w:ascii="Calibri" w:hAnsi="Calibri" w:cs="Arial"/>
          <w:bCs/>
          <w:sz w:val="22"/>
          <w:szCs w:val="22"/>
        </w:rPr>
        <w:t xml:space="preserve"> euros</w:t>
      </w:r>
    </w:p>
    <w:p w:rsidR="00AB338C" w:rsidRDefault="00AB338C" w:rsidP="00AB338C">
      <w:pPr>
        <w:pStyle w:val="Prrafodelista"/>
        <w:numPr>
          <w:ilvl w:val="0"/>
          <w:numId w:val="1"/>
        </w:numPr>
        <w:spacing w:before="120" w:line="300" w:lineRule="auto"/>
        <w:ind w:left="709" w:firstLine="0"/>
        <w:jc w:val="both"/>
        <w:rPr>
          <w:rFonts w:ascii="Calibri" w:hAnsi="Calibri" w:cs="Arial"/>
          <w:bCs/>
          <w:sz w:val="22"/>
          <w:szCs w:val="22"/>
        </w:rPr>
      </w:pPr>
      <w:r>
        <w:rPr>
          <w:rFonts w:ascii="Calibri" w:hAnsi="Calibri" w:cs="Arial"/>
          <w:bCs/>
          <w:sz w:val="22"/>
          <w:szCs w:val="22"/>
        </w:rPr>
        <w:t xml:space="preserve">Equipos de comunicación (emisoras portátiles, repetidores digitales, emisoras DMR, Tetra,…) </w:t>
      </w:r>
      <w:r w:rsidRPr="00282C15">
        <w:rPr>
          <w:rFonts w:ascii="Calibri" w:hAnsi="Calibri" w:cs="Arial"/>
          <w:bCs/>
          <w:sz w:val="22"/>
          <w:szCs w:val="22"/>
        </w:rPr>
        <w:t xml:space="preserve">que conjuntamente alcanzan </w:t>
      </w:r>
      <w:r>
        <w:rPr>
          <w:rFonts w:ascii="Calibri" w:hAnsi="Calibri" w:cs="Arial"/>
          <w:bCs/>
          <w:sz w:val="22"/>
          <w:szCs w:val="22"/>
        </w:rPr>
        <w:t>43.400</w:t>
      </w:r>
      <w:r w:rsidRPr="00282C15">
        <w:rPr>
          <w:rFonts w:ascii="Calibri" w:hAnsi="Calibri" w:cs="Arial"/>
          <w:bCs/>
          <w:sz w:val="22"/>
          <w:szCs w:val="22"/>
        </w:rPr>
        <w:t xml:space="preserve"> euros.</w:t>
      </w:r>
    </w:p>
    <w:p w:rsidR="00AB338C" w:rsidRPr="00282C15" w:rsidRDefault="00AB338C" w:rsidP="00AB338C">
      <w:pPr>
        <w:pStyle w:val="Prrafodelista"/>
        <w:numPr>
          <w:ilvl w:val="0"/>
          <w:numId w:val="1"/>
        </w:numPr>
        <w:spacing w:before="120" w:line="300" w:lineRule="auto"/>
        <w:ind w:left="709" w:firstLine="0"/>
        <w:jc w:val="both"/>
        <w:rPr>
          <w:rFonts w:ascii="Calibri" w:hAnsi="Calibri" w:cs="Arial"/>
          <w:bCs/>
          <w:sz w:val="22"/>
          <w:szCs w:val="22"/>
        </w:rPr>
      </w:pPr>
      <w:r>
        <w:rPr>
          <w:rFonts w:ascii="Calibri" w:hAnsi="Calibri" w:cs="Arial"/>
          <w:bCs/>
          <w:sz w:val="22"/>
          <w:szCs w:val="22"/>
        </w:rPr>
        <w:t>Aplicaciones informáticas como sistema de vigilancia de parques, programa para la gestión del inventario, gestión operativa de los siniestros y programa para personal). Estas inversiones en programas informáticos alcanzan 100.500 euros.</w:t>
      </w:r>
    </w:p>
    <w:p w:rsidR="00AB338C" w:rsidRPr="00B73E18" w:rsidRDefault="00AB338C" w:rsidP="00AB338C">
      <w:pPr>
        <w:pStyle w:val="Prrafodelista"/>
        <w:spacing w:before="120" w:line="300" w:lineRule="auto"/>
        <w:ind w:left="0" w:firstLine="709"/>
        <w:jc w:val="both"/>
        <w:rPr>
          <w:rFonts w:ascii="Calibri" w:hAnsi="Calibri" w:cs="Arial"/>
          <w:bCs/>
          <w:color w:val="FF0000"/>
          <w:sz w:val="22"/>
          <w:szCs w:val="22"/>
        </w:rPr>
      </w:pPr>
    </w:p>
    <w:p w:rsidR="00AB338C" w:rsidRPr="00282C15" w:rsidRDefault="00AB338C" w:rsidP="00AB338C">
      <w:pPr>
        <w:pStyle w:val="Prrafodelista"/>
        <w:spacing w:before="120" w:line="300" w:lineRule="auto"/>
        <w:ind w:left="0" w:firstLine="709"/>
        <w:jc w:val="both"/>
        <w:rPr>
          <w:rFonts w:ascii="Calibri" w:hAnsi="Calibri" w:cs="Arial"/>
          <w:bCs/>
          <w:sz w:val="22"/>
          <w:szCs w:val="22"/>
        </w:rPr>
      </w:pPr>
      <w:r w:rsidRPr="00282C15">
        <w:rPr>
          <w:rFonts w:ascii="Calibri" w:hAnsi="Calibri" w:cs="Arial"/>
          <w:bCs/>
          <w:sz w:val="22"/>
          <w:szCs w:val="22"/>
        </w:rPr>
        <w:t xml:space="preserve">Por lo expuesto, el capítulo VI supone el </w:t>
      </w:r>
      <w:r>
        <w:rPr>
          <w:rFonts w:ascii="Calibri" w:hAnsi="Calibri" w:cs="Arial"/>
          <w:bCs/>
          <w:sz w:val="22"/>
          <w:szCs w:val="22"/>
        </w:rPr>
        <w:t>8,33</w:t>
      </w:r>
      <w:r w:rsidRPr="00282C15">
        <w:rPr>
          <w:rFonts w:ascii="Calibri" w:hAnsi="Calibri" w:cs="Arial"/>
          <w:bCs/>
          <w:sz w:val="22"/>
          <w:szCs w:val="22"/>
        </w:rPr>
        <w:t>% del total del Presupuesto de 20</w:t>
      </w:r>
      <w:r>
        <w:rPr>
          <w:rFonts w:ascii="Calibri" w:hAnsi="Calibri" w:cs="Arial"/>
          <w:bCs/>
          <w:sz w:val="22"/>
          <w:szCs w:val="22"/>
        </w:rPr>
        <w:t>20</w:t>
      </w:r>
      <w:r w:rsidRPr="00282C15">
        <w:rPr>
          <w:rFonts w:ascii="Calibri" w:hAnsi="Calibri" w:cs="Arial"/>
          <w:bCs/>
          <w:sz w:val="22"/>
          <w:szCs w:val="22"/>
        </w:rPr>
        <w:t>.</w:t>
      </w:r>
    </w:p>
    <w:p w:rsidR="00AB338C" w:rsidRDefault="00AB338C" w:rsidP="00AB338C">
      <w:pPr>
        <w:pStyle w:val="Prrafodelista"/>
        <w:spacing w:before="120" w:line="300" w:lineRule="auto"/>
        <w:ind w:left="1789"/>
        <w:jc w:val="both"/>
        <w:rPr>
          <w:rFonts w:ascii="Calibri" w:hAnsi="Calibri" w:cs="Arial"/>
          <w:bCs/>
          <w:color w:val="FF0000"/>
          <w:sz w:val="22"/>
          <w:szCs w:val="22"/>
        </w:rPr>
      </w:pPr>
    </w:p>
    <w:p w:rsidR="00AB338C" w:rsidRPr="00B73E18" w:rsidRDefault="00AB338C" w:rsidP="00AB338C">
      <w:pPr>
        <w:pStyle w:val="Prrafodelista"/>
        <w:spacing w:before="120" w:line="300" w:lineRule="auto"/>
        <w:ind w:left="1789"/>
        <w:jc w:val="both"/>
        <w:rPr>
          <w:rFonts w:ascii="Calibri" w:hAnsi="Calibri" w:cs="Arial"/>
          <w:bCs/>
          <w:color w:val="FF0000"/>
          <w:sz w:val="22"/>
          <w:szCs w:val="22"/>
        </w:rPr>
      </w:pPr>
    </w:p>
    <w:p w:rsidR="00AB338C" w:rsidRPr="0021311E" w:rsidRDefault="00AB338C" w:rsidP="00AB338C">
      <w:pPr>
        <w:pStyle w:val="Prrafodelista"/>
        <w:numPr>
          <w:ilvl w:val="0"/>
          <w:numId w:val="1"/>
        </w:numPr>
        <w:tabs>
          <w:tab w:val="clear" w:pos="1080"/>
        </w:tabs>
        <w:spacing w:before="120" w:line="300" w:lineRule="auto"/>
        <w:ind w:left="1134" w:hanging="425"/>
        <w:jc w:val="both"/>
        <w:rPr>
          <w:rFonts w:ascii="Calibri" w:hAnsi="Calibri" w:cs="Arial"/>
          <w:bCs/>
          <w:sz w:val="22"/>
          <w:szCs w:val="22"/>
        </w:rPr>
      </w:pPr>
      <w:r w:rsidRPr="0021311E">
        <w:rPr>
          <w:rFonts w:ascii="Calibri" w:hAnsi="Calibri" w:cs="Arial"/>
          <w:b/>
          <w:bCs/>
          <w:i/>
          <w:sz w:val="22"/>
          <w:szCs w:val="22"/>
        </w:rPr>
        <w:t xml:space="preserve"> Capítulo VII, Transferencias de capital</w:t>
      </w:r>
    </w:p>
    <w:p w:rsidR="00AB338C" w:rsidRPr="0021311E" w:rsidRDefault="00AB338C" w:rsidP="00AB338C">
      <w:pPr>
        <w:pStyle w:val="Prrafodelista"/>
        <w:spacing w:before="120" w:line="300" w:lineRule="auto"/>
        <w:ind w:left="0" w:firstLine="709"/>
        <w:jc w:val="both"/>
        <w:rPr>
          <w:rFonts w:ascii="Calibri" w:hAnsi="Calibri" w:cs="Arial"/>
          <w:bCs/>
          <w:sz w:val="22"/>
          <w:szCs w:val="22"/>
        </w:rPr>
      </w:pPr>
      <w:r w:rsidRPr="0021311E">
        <w:rPr>
          <w:rFonts w:ascii="Calibri" w:hAnsi="Calibri" w:cs="Arial"/>
          <w:bCs/>
          <w:sz w:val="22"/>
          <w:szCs w:val="22"/>
        </w:rPr>
        <w:t xml:space="preserve"> Este capítulo se cifra en </w:t>
      </w:r>
      <w:r>
        <w:rPr>
          <w:rFonts w:ascii="Calibri" w:hAnsi="Calibri" w:cs="Arial"/>
          <w:bCs/>
          <w:sz w:val="22"/>
          <w:szCs w:val="22"/>
        </w:rPr>
        <w:t>112.933,00</w:t>
      </w:r>
      <w:r w:rsidRPr="0021311E">
        <w:rPr>
          <w:rFonts w:ascii="Calibri" w:hAnsi="Calibri" w:cs="Arial"/>
          <w:bCs/>
          <w:sz w:val="22"/>
          <w:szCs w:val="22"/>
        </w:rPr>
        <w:t xml:space="preserve"> euros, y recoge las subvenciones nominativas para gastos de inversión a las Asociaciones de Bomberos Voluntarios.</w:t>
      </w:r>
    </w:p>
    <w:p w:rsidR="00AB338C" w:rsidRPr="0021311E" w:rsidRDefault="00AB338C" w:rsidP="00AB338C">
      <w:pPr>
        <w:pStyle w:val="Prrafodelista"/>
        <w:spacing w:before="120" w:line="300" w:lineRule="auto"/>
        <w:ind w:left="0" w:firstLine="709"/>
        <w:jc w:val="both"/>
        <w:rPr>
          <w:rFonts w:ascii="Calibri" w:hAnsi="Calibri" w:cs="Arial"/>
          <w:bCs/>
          <w:sz w:val="22"/>
          <w:szCs w:val="22"/>
        </w:rPr>
      </w:pPr>
      <w:r w:rsidRPr="0021311E">
        <w:rPr>
          <w:rFonts w:ascii="Calibri" w:hAnsi="Calibri" w:cs="Arial"/>
          <w:bCs/>
          <w:sz w:val="22"/>
          <w:szCs w:val="22"/>
        </w:rPr>
        <w:t>El peso de este capítulo en el total del Presupuesto es del 0,</w:t>
      </w:r>
      <w:r>
        <w:rPr>
          <w:rFonts w:ascii="Calibri" w:hAnsi="Calibri" w:cs="Arial"/>
          <w:bCs/>
          <w:sz w:val="22"/>
          <w:szCs w:val="22"/>
        </w:rPr>
        <w:t>57</w:t>
      </w:r>
      <w:r w:rsidRPr="0021311E">
        <w:rPr>
          <w:rFonts w:ascii="Calibri" w:hAnsi="Calibri" w:cs="Arial"/>
          <w:bCs/>
          <w:sz w:val="22"/>
          <w:szCs w:val="22"/>
        </w:rPr>
        <w:t>%.</w:t>
      </w:r>
    </w:p>
    <w:p w:rsidR="00AB338C" w:rsidRDefault="00AB338C" w:rsidP="00AB338C">
      <w:pPr>
        <w:pStyle w:val="Prrafodelista"/>
        <w:spacing w:before="120" w:line="300" w:lineRule="auto"/>
        <w:ind w:left="1789"/>
        <w:jc w:val="both"/>
        <w:rPr>
          <w:rFonts w:ascii="Calibri" w:hAnsi="Calibri" w:cs="Arial"/>
          <w:bCs/>
          <w:color w:val="FF0000"/>
          <w:sz w:val="22"/>
          <w:szCs w:val="22"/>
        </w:rPr>
      </w:pPr>
    </w:p>
    <w:p w:rsidR="00AB338C" w:rsidRPr="00B73E18" w:rsidRDefault="00AB338C" w:rsidP="00AB338C">
      <w:pPr>
        <w:pStyle w:val="Prrafodelista"/>
        <w:spacing w:before="120" w:line="300" w:lineRule="auto"/>
        <w:ind w:left="1789"/>
        <w:jc w:val="both"/>
        <w:rPr>
          <w:rFonts w:ascii="Calibri" w:hAnsi="Calibri" w:cs="Arial"/>
          <w:bCs/>
          <w:color w:val="FF0000"/>
          <w:sz w:val="22"/>
          <w:szCs w:val="22"/>
        </w:rPr>
      </w:pPr>
    </w:p>
    <w:p w:rsidR="00AB338C" w:rsidRPr="0021311E" w:rsidRDefault="00AB338C" w:rsidP="00AB338C">
      <w:pPr>
        <w:pStyle w:val="Prrafodelista"/>
        <w:numPr>
          <w:ilvl w:val="0"/>
          <w:numId w:val="1"/>
        </w:numPr>
        <w:tabs>
          <w:tab w:val="clear" w:pos="1080"/>
        </w:tabs>
        <w:spacing w:before="120" w:line="300" w:lineRule="auto"/>
        <w:ind w:left="1134" w:hanging="425"/>
        <w:jc w:val="both"/>
        <w:rPr>
          <w:rFonts w:ascii="Calibri" w:hAnsi="Calibri" w:cs="Arial"/>
          <w:bCs/>
          <w:sz w:val="22"/>
          <w:szCs w:val="22"/>
        </w:rPr>
      </w:pPr>
      <w:r w:rsidRPr="0021311E">
        <w:rPr>
          <w:rFonts w:ascii="Calibri" w:hAnsi="Calibri" w:cs="Arial"/>
          <w:b/>
          <w:bCs/>
          <w:i/>
          <w:sz w:val="22"/>
          <w:szCs w:val="22"/>
        </w:rPr>
        <w:t xml:space="preserve"> Capítulo VIII, Activos financieros</w:t>
      </w:r>
    </w:p>
    <w:p w:rsidR="00AB338C" w:rsidRPr="0021311E" w:rsidRDefault="00AB338C" w:rsidP="00AB338C">
      <w:pPr>
        <w:spacing w:before="120" w:line="300" w:lineRule="auto"/>
        <w:ind w:firstLine="709"/>
        <w:jc w:val="both"/>
        <w:rPr>
          <w:rFonts w:ascii="Calibri" w:hAnsi="Calibri" w:cs="Arial"/>
          <w:bCs/>
          <w:sz w:val="22"/>
          <w:szCs w:val="22"/>
        </w:rPr>
      </w:pPr>
      <w:r w:rsidRPr="0021311E">
        <w:rPr>
          <w:rFonts w:ascii="Calibri" w:hAnsi="Calibri" w:cs="Arial"/>
          <w:bCs/>
          <w:sz w:val="22"/>
          <w:szCs w:val="22"/>
        </w:rPr>
        <w:t>Este capítulo no experimenta variación alguna con respecto al ejercicio anterior, manteniéndose los créditos para anticipos al personal en la misma cuantía, 0,5</w:t>
      </w:r>
      <w:r>
        <w:rPr>
          <w:rFonts w:ascii="Calibri" w:hAnsi="Calibri" w:cs="Arial"/>
          <w:bCs/>
          <w:sz w:val="22"/>
          <w:szCs w:val="22"/>
        </w:rPr>
        <w:t>5</w:t>
      </w:r>
      <w:r w:rsidRPr="0021311E">
        <w:rPr>
          <w:rFonts w:ascii="Calibri" w:hAnsi="Calibri" w:cs="Arial"/>
          <w:bCs/>
          <w:sz w:val="22"/>
          <w:szCs w:val="22"/>
        </w:rPr>
        <w:t>% del total del Presupuesto. Hay que mencionar que estas</w:t>
      </w:r>
      <w:r w:rsidRPr="0021311E">
        <w:rPr>
          <w:rFonts w:ascii="Calibri" w:hAnsi="Calibri" w:cs="Arial"/>
          <w:sz w:val="22"/>
          <w:szCs w:val="22"/>
        </w:rPr>
        <w:t xml:space="preserve"> partidas son ampliables ya que corresponden a gastos financiados con recursos expresamente afectados.</w:t>
      </w:r>
    </w:p>
    <w:p w:rsidR="00AB338C" w:rsidRPr="00B73E18" w:rsidRDefault="00AB338C" w:rsidP="00AB338C">
      <w:pPr>
        <w:spacing w:before="120" w:line="300" w:lineRule="auto"/>
        <w:ind w:firstLine="709"/>
        <w:jc w:val="both"/>
        <w:rPr>
          <w:rFonts w:ascii="Calibri" w:hAnsi="Calibri" w:cs="Arial"/>
          <w:bCs/>
          <w:color w:val="FF0000"/>
          <w:sz w:val="22"/>
          <w:szCs w:val="22"/>
        </w:rPr>
      </w:pPr>
    </w:p>
    <w:p w:rsidR="00AB338C" w:rsidRPr="0021311E" w:rsidRDefault="00AB338C" w:rsidP="00AB338C">
      <w:pPr>
        <w:spacing w:before="120" w:line="300" w:lineRule="auto"/>
        <w:ind w:firstLine="709"/>
        <w:jc w:val="both"/>
        <w:rPr>
          <w:rFonts w:ascii="Calibri" w:hAnsi="Calibri" w:cs="Arial"/>
          <w:bCs/>
          <w:sz w:val="22"/>
          <w:szCs w:val="22"/>
        </w:rPr>
      </w:pPr>
      <w:r w:rsidRPr="0021311E">
        <w:rPr>
          <w:rFonts w:ascii="Calibri" w:hAnsi="Calibri" w:cs="Arial"/>
          <w:bCs/>
          <w:sz w:val="22"/>
          <w:szCs w:val="22"/>
        </w:rPr>
        <w:t>El Presupuesto General para 20</w:t>
      </w:r>
      <w:r>
        <w:rPr>
          <w:rFonts w:ascii="Calibri" w:hAnsi="Calibri" w:cs="Arial"/>
          <w:bCs/>
          <w:sz w:val="22"/>
          <w:szCs w:val="22"/>
        </w:rPr>
        <w:t>20</w:t>
      </w:r>
      <w:r w:rsidRPr="0021311E">
        <w:rPr>
          <w:rFonts w:ascii="Calibri" w:hAnsi="Calibri" w:cs="Arial"/>
          <w:bCs/>
          <w:sz w:val="22"/>
          <w:szCs w:val="22"/>
        </w:rPr>
        <w:t xml:space="preserve"> se presenta cumpliendo con los criterios de estabilidad presupuestaria vigentes, así como lo establecido en el RDLeg 2/2004 que aprueba el Texto Refundido de la Ley Reguladora de las Haciendas Locales.</w:t>
      </w:r>
    </w:p>
    <w:p w:rsidR="00061BD6" w:rsidRDefault="00061BD6"/>
    <w:sectPr w:rsidR="00061BD6" w:rsidSect="000B1E5C">
      <w:headerReference w:type="default" r:id="rId7"/>
      <w:pgSz w:w="11906" w:h="16838"/>
      <w:pgMar w:top="226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7A" w:rsidRDefault="00A0227A" w:rsidP="000B1E5C">
      <w:r>
        <w:separator/>
      </w:r>
    </w:p>
  </w:endnote>
  <w:endnote w:type="continuationSeparator" w:id="0">
    <w:p w:rsidR="00A0227A" w:rsidRDefault="00A0227A" w:rsidP="000B1E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7A" w:rsidRDefault="00A0227A" w:rsidP="000B1E5C">
      <w:r>
        <w:separator/>
      </w:r>
    </w:p>
  </w:footnote>
  <w:footnote w:type="continuationSeparator" w:id="0">
    <w:p w:rsidR="00A0227A" w:rsidRDefault="00A0227A" w:rsidP="000B1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8C" w:rsidRDefault="00AB338C" w:rsidP="000B1E5C">
    <w:pPr>
      <w:pStyle w:val="Encabezado"/>
      <w:jc w:val="center"/>
    </w:pPr>
    <w:r w:rsidRPr="000B1E5C">
      <w:rPr>
        <w:noProof/>
      </w:rPr>
      <w:drawing>
        <wp:inline distT="0" distB="0" distL="0" distR="0">
          <wp:extent cx="845185" cy="767715"/>
          <wp:effectExtent l="19050" t="0" r="0" b="0"/>
          <wp:docPr id="1"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7AB"/>
    <w:multiLevelType w:val="hybridMultilevel"/>
    <w:tmpl w:val="2DEAF3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5502CD"/>
    <w:multiLevelType w:val="hybridMultilevel"/>
    <w:tmpl w:val="E77C25AA"/>
    <w:lvl w:ilvl="0" w:tplc="0C0A000B">
      <w:start w:val="1"/>
      <w:numFmt w:val="bullet"/>
      <w:lvlText w:val=""/>
      <w:lvlJc w:val="left"/>
      <w:pPr>
        <w:ind w:left="2062" w:hanging="360"/>
      </w:pPr>
      <w:rPr>
        <w:rFonts w:ascii="Wingdings" w:hAnsi="Wingdings"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2">
    <w:nsid w:val="5EB33E56"/>
    <w:multiLevelType w:val="hybridMultilevel"/>
    <w:tmpl w:val="197052B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425"/>
  <w:characterSpacingControl w:val="doNotCompress"/>
  <w:footnotePr>
    <w:footnote w:id="-1"/>
    <w:footnote w:id="0"/>
  </w:footnotePr>
  <w:endnotePr>
    <w:endnote w:id="-1"/>
    <w:endnote w:id="0"/>
  </w:endnotePr>
  <w:compat/>
  <w:rsids>
    <w:rsidRoot w:val="000B1E5C"/>
    <w:rsid w:val="00061BD6"/>
    <w:rsid w:val="000B1E5C"/>
    <w:rsid w:val="00231EA2"/>
    <w:rsid w:val="002E41C7"/>
    <w:rsid w:val="00440AAE"/>
    <w:rsid w:val="005B1AC5"/>
    <w:rsid w:val="00652FF8"/>
    <w:rsid w:val="00A0227A"/>
    <w:rsid w:val="00AB338C"/>
    <w:rsid w:val="00CF1B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nhideWhenUsed="0"/>
    <w:lsdException w:name="Colorful List Accent 4" w:semiHidden="0" w:uiPriority="72"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5C"/>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AB338C"/>
    <w:pPr>
      <w:keepNext/>
      <w:widowControl w:val="0"/>
      <w:tabs>
        <w:tab w:val="left" w:pos="1701"/>
      </w:tabs>
      <w:jc w:val="center"/>
      <w:outlineLvl w:val="0"/>
    </w:pPr>
    <w:rPr>
      <w:rFonts w:ascii="Arial Narrow" w:hAnsi="Arial Narrow" w:cs="Arial Narrow"/>
      <w:b/>
      <w:bCs/>
      <w:sz w:val="28"/>
      <w:szCs w:val="28"/>
      <w:lang w:val="es-MX"/>
    </w:rPr>
  </w:style>
  <w:style w:type="paragraph" w:styleId="Ttulo2">
    <w:name w:val="heading 2"/>
    <w:basedOn w:val="Normal"/>
    <w:next w:val="Normal"/>
    <w:link w:val="Ttulo2Car"/>
    <w:uiPriority w:val="99"/>
    <w:qFormat/>
    <w:rsid w:val="00AB338C"/>
    <w:pPr>
      <w:keepNext/>
      <w:widowControl w:val="0"/>
      <w:tabs>
        <w:tab w:val="left" w:pos="1701"/>
      </w:tabs>
      <w:jc w:val="both"/>
      <w:outlineLvl w:val="1"/>
    </w:pPr>
    <w:rPr>
      <w:rFonts w:ascii="Arial Narrow" w:hAnsi="Arial Narrow" w:cs="Arial Narrow"/>
      <w:b/>
      <w:bCs/>
      <w:sz w:val="28"/>
      <w:szCs w:val="28"/>
      <w:lang w:val="es-MX"/>
    </w:rPr>
  </w:style>
  <w:style w:type="paragraph" w:styleId="Ttulo3">
    <w:name w:val="heading 3"/>
    <w:basedOn w:val="Normal"/>
    <w:next w:val="Normal"/>
    <w:link w:val="Ttulo3Car"/>
    <w:uiPriority w:val="99"/>
    <w:qFormat/>
    <w:rsid w:val="00AB338C"/>
    <w:pPr>
      <w:keepNext/>
      <w:jc w:val="both"/>
      <w:outlineLvl w:val="2"/>
    </w:pPr>
    <w:rPr>
      <w:rFonts w:ascii="Arial Narrow" w:hAnsi="Arial Narrow" w:cs="Arial Narrow"/>
      <w:sz w:val="28"/>
      <w:szCs w:val="28"/>
    </w:rPr>
  </w:style>
  <w:style w:type="paragraph" w:styleId="Ttulo4">
    <w:name w:val="heading 4"/>
    <w:basedOn w:val="Normal"/>
    <w:next w:val="Normal"/>
    <w:link w:val="Ttulo4Car"/>
    <w:qFormat/>
    <w:rsid w:val="00AB338C"/>
    <w:pPr>
      <w:keepNext/>
      <w:ind w:left="1440"/>
      <w:outlineLvl w:val="3"/>
    </w:pPr>
    <w:rPr>
      <w:rFonts w:ascii="Arial Narrow" w:hAnsi="Arial Narrow" w:cs="Arial Narrow"/>
      <w:sz w:val="28"/>
      <w:szCs w:val="28"/>
    </w:rPr>
  </w:style>
  <w:style w:type="paragraph" w:styleId="Ttulo5">
    <w:name w:val="heading 5"/>
    <w:basedOn w:val="Normal"/>
    <w:next w:val="Normal"/>
    <w:link w:val="Ttulo5Car"/>
    <w:uiPriority w:val="99"/>
    <w:qFormat/>
    <w:rsid w:val="00AB338C"/>
    <w:pPr>
      <w:autoSpaceDE/>
      <w:autoSpaceDN/>
      <w:spacing w:before="240" w:after="60"/>
      <w:jc w:val="both"/>
      <w:outlineLvl w:val="4"/>
    </w:pPr>
    <w:rPr>
      <w:b/>
      <w:bCs/>
      <w:i/>
      <w:iCs/>
      <w:sz w:val="26"/>
      <w:szCs w:val="26"/>
      <w:lang w:val="es-ES_tradnl"/>
    </w:rPr>
  </w:style>
  <w:style w:type="paragraph" w:styleId="Ttulo6">
    <w:name w:val="heading 6"/>
    <w:basedOn w:val="Normal"/>
    <w:next w:val="Normal"/>
    <w:link w:val="Ttulo6Car"/>
    <w:uiPriority w:val="99"/>
    <w:qFormat/>
    <w:rsid w:val="00AB338C"/>
    <w:pPr>
      <w:autoSpaceDE/>
      <w:autoSpaceDN/>
      <w:spacing w:before="240" w:after="60"/>
      <w:jc w:val="both"/>
      <w:outlineLvl w:val="5"/>
    </w:pPr>
    <w:rPr>
      <w:b/>
      <w:bCs/>
      <w:sz w:val="22"/>
      <w:szCs w:val="22"/>
      <w:lang w:val="es-ES_tradnl"/>
    </w:rPr>
  </w:style>
  <w:style w:type="paragraph" w:styleId="Ttulo7">
    <w:name w:val="heading 7"/>
    <w:basedOn w:val="Normal"/>
    <w:next w:val="Normal"/>
    <w:link w:val="Ttulo7Car"/>
    <w:uiPriority w:val="99"/>
    <w:qFormat/>
    <w:rsid w:val="00AB338C"/>
    <w:pPr>
      <w:autoSpaceDE/>
      <w:autoSpaceDN/>
      <w:spacing w:before="240" w:after="60"/>
      <w:jc w:val="both"/>
      <w:outlineLvl w:val="6"/>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1E5C"/>
    <w:pPr>
      <w:autoSpaceDE w:val="0"/>
      <w:autoSpaceDN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0B1E5C"/>
    <w:pPr>
      <w:ind w:left="720"/>
      <w:contextualSpacing/>
    </w:pPr>
  </w:style>
  <w:style w:type="paragraph" w:styleId="Encabezado">
    <w:name w:val="header"/>
    <w:basedOn w:val="Normal"/>
    <w:link w:val="EncabezadoCar"/>
    <w:uiPriority w:val="99"/>
    <w:unhideWhenUsed/>
    <w:rsid w:val="000B1E5C"/>
    <w:pPr>
      <w:tabs>
        <w:tab w:val="center" w:pos="4252"/>
        <w:tab w:val="right" w:pos="8504"/>
      </w:tabs>
    </w:pPr>
  </w:style>
  <w:style w:type="character" w:customStyle="1" w:styleId="EncabezadoCar">
    <w:name w:val="Encabezado Car"/>
    <w:basedOn w:val="Fuentedeprrafopredeter"/>
    <w:link w:val="Encabezado"/>
    <w:uiPriority w:val="99"/>
    <w:rsid w:val="000B1E5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B1E5C"/>
    <w:pPr>
      <w:tabs>
        <w:tab w:val="center" w:pos="4252"/>
        <w:tab w:val="right" w:pos="8504"/>
      </w:tabs>
    </w:pPr>
  </w:style>
  <w:style w:type="character" w:customStyle="1" w:styleId="PiedepginaCar">
    <w:name w:val="Pie de página Car"/>
    <w:basedOn w:val="Fuentedeprrafopredeter"/>
    <w:link w:val="Piedepgina"/>
    <w:uiPriority w:val="99"/>
    <w:rsid w:val="000B1E5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B1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E5C"/>
    <w:rPr>
      <w:rFonts w:ascii="Tahoma" w:eastAsia="Times New Roman" w:hAnsi="Tahoma" w:cs="Tahoma"/>
      <w:sz w:val="16"/>
      <w:szCs w:val="16"/>
      <w:lang w:eastAsia="es-ES"/>
    </w:rPr>
  </w:style>
  <w:style w:type="character" w:customStyle="1" w:styleId="Ttulo1Car">
    <w:name w:val="Título 1 Car"/>
    <w:basedOn w:val="Fuentedeprrafopredeter"/>
    <w:link w:val="Ttulo1"/>
    <w:uiPriority w:val="99"/>
    <w:rsid w:val="00AB338C"/>
    <w:rPr>
      <w:rFonts w:ascii="Arial Narrow" w:eastAsia="Times New Roman" w:hAnsi="Arial Narrow" w:cs="Arial Narrow"/>
      <w:b/>
      <w:bCs/>
      <w:sz w:val="28"/>
      <w:szCs w:val="28"/>
      <w:lang w:val="es-MX" w:eastAsia="es-ES"/>
    </w:rPr>
  </w:style>
  <w:style w:type="character" w:customStyle="1" w:styleId="Ttulo2Car">
    <w:name w:val="Título 2 Car"/>
    <w:basedOn w:val="Fuentedeprrafopredeter"/>
    <w:link w:val="Ttulo2"/>
    <w:uiPriority w:val="99"/>
    <w:rsid w:val="00AB338C"/>
    <w:rPr>
      <w:rFonts w:ascii="Arial Narrow" w:eastAsia="Times New Roman" w:hAnsi="Arial Narrow" w:cs="Arial Narrow"/>
      <w:b/>
      <w:bCs/>
      <w:sz w:val="28"/>
      <w:szCs w:val="28"/>
      <w:lang w:val="es-MX" w:eastAsia="es-ES"/>
    </w:rPr>
  </w:style>
  <w:style w:type="character" w:customStyle="1" w:styleId="Ttulo3Car">
    <w:name w:val="Título 3 Car"/>
    <w:basedOn w:val="Fuentedeprrafopredeter"/>
    <w:link w:val="Ttulo3"/>
    <w:uiPriority w:val="99"/>
    <w:rsid w:val="00AB338C"/>
    <w:rPr>
      <w:rFonts w:ascii="Arial Narrow" w:eastAsia="Times New Roman" w:hAnsi="Arial Narrow" w:cs="Arial Narrow"/>
      <w:sz w:val="28"/>
      <w:szCs w:val="28"/>
      <w:lang w:eastAsia="es-ES"/>
    </w:rPr>
  </w:style>
  <w:style w:type="character" w:customStyle="1" w:styleId="Ttulo4Car">
    <w:name w:val="Título 4 Car"/>
    <w:basedOn w:val="Fuentedeprrafopredeter"/>
    <w:link w:val="Ttulo4"/>
    <w:rsid w:val="00AB338C"/>
    <w:rPr>
      <w:rFonts w:ascii="Arial Narrow" w:eastAsia="Times New Roman" w:hAnsi="Arial Narrow" w:cs="Arial Narrow"/>
      <w:sz w:val="28"/>
      <w:szCs w:val="28"/>
      <w:lang w:eastAsia="es-ES"/>
    </w:rPr>
  </w:style>
  <w:style w:type="character" w:customStyle="1" w:styleId="Ttulo5Car">
    <w:name w:val="Título 5 Car"/>
    <w:basedOn w:val="Fuentedeprrafopredeter"/>
    <w:link w:val="Ttulo5"/>
    <w:uiPriority w:val="99"/>
    <w:rsid w:val="00AB338C"/>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uiPriority w:val="99"/>
    <w:rsid w:val="00AB338C"/>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uiPriority w:val="99"/>
    <w:rsid w:val="00AB338C"/>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uiPriority w:val="99"/>
    <w:rsid w:val="00AB338C"/>
    <w:pPr>
      <w:jc w:val="both"/>
    </w:pPr>
    <w:rPr>
      <w:rFonts w:ascii="Arial Narrow" w:hAnsi="Arial Narrow" w:cs="Arial Narrow"/>
      <w:sz w:val="28"/>
      <w:szCs w:val="28"/>
    </w:rPr>
  </w:style>
  <w:style w:type="character" w:customStyle="1" w:styleId="TextoindependienteCar">
    <w:name w:val="Texto independiente Car"/>
    <w:basedOn w:val="Fuentedeprrafopredeter"/>
    <w:link w:val="Textoindependiente"/>
    <w:uiPriority w:val="99"/>
    <w:rsid w:val="00AB338C"/>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AB338C"/>
    <w:pPr>
      <w:widowControl w:val="0"/>
      <w:tabs>
        <w:tab w:val="left" w:pos="1701"/>
        <w:tab w:val="left" w:pos="2182"/>
      </w:tabs>
      <w:spacing w:line="283" w:lineRule="exact"/>
      <w:ind w:firstLine="748"/>
      <w:jc w:val="both"/>
    </w:pPr>
    <w:rPr>
      <w:rFonts w:ascii="Arial Narrow" w:hAnsi="Arial Narrow" w:cs="Arial Narrow"/>
      <w:sz w:val="28"/>
      <w:szCs w:val="28"/>
      <w:lang w:val="es-MX"/>
    </w:rPr>
  </w:style>
  <w:style w:type="character" w:customStyle="1" w:styleId="SangradetextonormalCar">
    <w:name w:val="Sangría de texto normal Car"/>
    <w:basedOn w:val="Fuentedeprrafopredeter"/>
    <w:link w:val="Sangradetextonormal"/>
    <w:uiPriority w:val="99"/>
    <w:rsid w:val="00AB338C"/>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AB338C"/>
    <w:pPr>
      <w:ind w:firstLine="720"/>
    </w:pPr>
  </w:style>
  <w:style w:type="character" w:customStyle="1" w:styleId="Sangra3detindependienteCar">
    <w:name w:val="Sangría 3 de t. independiente Car"/>
    <w:basedOn w:val="Fuentedeprrafopredeter"/>
    <w:link w:val="Sangra3detindependiente"/>
    <w:uiPriority w:val="99"/>
    <w:rsid w:val="00AB338C"/>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AB338C"/>
    <w:rPr>
      <w:rFonts w:cs="Times New Roman"/>
    </w:rPr>
  </w:style>
  <w:style w:type="paragraph" w:styleId="Mapadeldocumento">
    <w:name w:val="Document Map"/>
    <w:basedOn w:val="Normal"/>
    <w:link w:val="MapadeldocumentoCar"/>
    <w:uiPriority w:val="99"/>
    <w:semiHidden/>
    <w:rsid w:val="00AB338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AB338C"/>
    <w:rPr>
      <w:rFonts w:ascii="Tahoma" w:eastAsia="Times New Roman" w:hAnsi="Tahoma" w:cs="Tahoma"/>
      <w:sz w:val="20"/>
      <w:szCs w:val="20"/>
      <w:shd w:val="clear" w:color="auto" w:fill="000080"/>
      <w:lang w:eastAsia="es-ES"/>
    </w:rPr>
  </w:style>
  <w:style w:type="paragraph" w:styleId="Listaconvietas2">
    <w:name w:val="List Bullet 2"/>
    <w:basedOn w:val="Normal"/>
    <w:uiPriority w:val="99"/>
    <w:rsid w:val="00AB338C"/>
    <w:pPr>
      <w:tabs>
        <w:tab w:val="left" w:pos="643"/>
      </w:tabs>
      <w:autoSpaceDE/>
      <w:autoSpaceDN/>
      <w:ind w:left="643" w:hanging="360"/>
    </w:pPr>
    <w:rPr>
      <w:lang w:val="es-ES_tradnl"/>
    </w:rPr>
  </w:style>
  <w:style w:type="paragraph" w:styleId="Continuarlista2">
    <w:name w:val="List Continue 2"/>
    <w:basedOn w:val="Normal"/>
    <w:uiPriority w:val="99"/>
    <w:rsid w:val="00AB338C"/>
    <w:pPr>
      <w:autoSpaceDE/>
      <w:autoSpaceDN/>
      <w:spacing w:after="120"/>
      <w:ind w:left="566"/>
    </w:pPr>
    <w:rPr>
      <w:lang w:val="es-ES_tradnl"/>
    </w:rPr>
  </w:style>
  <w:style w:type="paragraph" w:customStyle="1" w:styleId="font5">
    <w:name w:val="font5"/>
    <w:basedOn w:val="Normal"/>
    <w:rsid w:val="00AB338C"/>
    <w:pPr>
      <w:autoSpaceDE/>
      <w:autoSpaceDN/>
      <w:spacing w:before="100" w:beforeAutospacing="1" w:after="100" w:afterAutospacing="1"/>
    </w:pPr>
    <w:rPr>
      <w:rFonts w:ascii="Tahoma" w:hAnsi="Tahoma" w:cs="Tahoma"/>
      <w:color w:val="000000"/>
      <w:sz w:val="16"/>
      <w:szCs w:val="16"/>
      <w:lang w:val="es-ES_tradnl" w:eastAsia="es-ES_tradnl"/>
    </w:rPr>
  </w:style>
  <w:style w:type="paragraph" w:customStyle="1" w:styleId="xl26">
    <w:name w:val="xl26"/>
    <w:basedOn w:val="Normal"/>
    <w:rsid w:val="00AB338C"/>
    <w:pPr>
      <w:autoSpaceDE/>
      <w:autoSpaceDN/>
      <w:spacing w:before="100" w:beforeAutospacing="1" w:after="100" w:afterAutospacing="1"/>
      <w:jc w:val="right"/>
    </w:pPr>
    <w:rPr>
      <w:rFonts w:ascii="Arial" w:hAnsi="Arial" w:cs="Arial"/>
      <w:sz w:val="24"/>
      <w:szCs w:val="24"/>
      <w:lang w:val="es-ES_tradnl" w:eastAsia="es-ES_tradnl"/>
    </w:rPr>
  </w:style>
  <w:style w:type="paragraph" w:customStyle="1" w:styleId="xl31">
    <w:name w:val="xl31"/>
    <w:basedOn w:val="Normal"/>
    <w:rsid w:val="00AB338C"/>
    <w:pP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32">
    <w:name w:val="xl32"/>
    <w:basedOn w:val="Normal"/>
    <w:rsid w:val="00AB338C"/>
    <w:pPr>
      <w:pBdr>
        <w:bottom w:val="single" w:sz="4" w:space="0" w:color="auto"/>
      </w:pBdr>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38">
    <w:name w:val="xl38"/>
    <w:basedOn w:val="Normal"/>
    <w:rsid w:val="00AB338C"/>
    <w:pP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6">
    <w:name w:val="xl66"/>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character" w:styleId="Hipervnculo">
    <w:name w:val="Hyperlink"/>
    <w:basedOn w:val="Fuentedeprrafopredeter"/>
    <w:uiPriority w:val="99"/>
    <w:rsid w:val="00AB338C"/>
    <w:rPr>
      <w:rFonts w:cs="Times New Roman"/>
      <w:color w:val="0000FF"/>
      <w:u w:val="single"/>
    </w:rPr>
  </w:style>
  <w:style w:type="character" w:styleId="Hipervnculovisitado">
    <w:name w:val="FollowedHyperlink"/>
    <w:basedOn w:val="Fuentedeprrafopredeter"/>
    <w:uiPriority w:val="99"/>
    <w:rsid w:val="00AB338C"/>
    <w:rPr>
      <w:rFonts w:cs="Times New Roman"/>
      <w:color w:val="800080"/>
      <w:u w:val="single"/>
    </w:rPr>
  </w:style>
  <w:style w:type="paragraph" w:customStyle="1" w:styleId="font6">
    <w:name w:val="font6"/>
    <w:basedOn w:val="Normal"/>
    <w:rsid w:val="00AB338C"/>
    <w:pPr>
      <w:autoSpaceDE/>
      <w:autoSpaceDN/>
      <w:spacing w:before="100" w:beforeAutospacing="1" w:after="100" w:afterAutospacing="1"/>
    </w:pPr>
    <w:rPr>
      <w:rFonts w:ascii="Tahoma" w:hAnsi="Tahoma" w:cs="Tahoma"/>
      <w:b/>
      <w:bCs/>
      <w:color w:val="000000"/>
      <w:sz w:val="16"/>
      <w:szCs w:val="16"/>
      <w:lang w:val="es-ES_tradnl" w:eastAsia="es-ES_tradnl"/>
    </w:rPr>
  </w:style>
  <w:style w:type="paragraph" w:customStyle="1" w:styleId="font7">
    <w:name w:val="font7"/>
    <w:basedOn w:val="Normal"/>
    <w:rsid w:val="00AB338C"/>
    <w:pPr>
      <w:autoSpaceDE/>
      <w:autoSpaceDN/>
      <w:spacing w:before="100" w:beforeAutospacing="1" w:after="100" w:afterAutospacing="1"/>
    </w:pPr>
    <w:rPr>
      <w:rFonts w:ascii="Tahoma" w:hAnsi="Tahoma" w:cs="Tahoma"/>
      <w:b/>
      <w:bCs/>
      <w:color w:val="FF0000"/>
      <w:sz w:val="16"/>
      <w:szCs w:val="16"/>
      <w:lang w:val="es-ES_tradnl" w:eastAsia="es-ES_tradnl"/>
    </w:rPr>
  </w:style>
  <w:style w:type="paragraph" w:customStyle="1" w:styleId="xl25">
    <w:name w:val="xl25"/>
    <w:basedOn w:val="Normal"/>
    <w:rsid w:val="00AB338C"/>
    <w:pPr>
      <w:autoSpaceDE/>
      <w:autoSpaceDN/>
      <w:spacing w:before="100" w:beforeAutospacing="1" w:after="100" w:afterAutospacing="1"/>
      <w:ind w:firstLineChars="100" w:firstLine="100"/>
      <w:jc w:val="right"/>
    </w:pPr>
    <w:rPr>
      <w:rFonts w:ascii="Arial" w:hAnsi="Arial" w:cs="Arial"/>
      <w:sz w:val="18"/>
      <w:szCs w:val="18"/>
      <w:lang w:val="es-ES_tradnl" w:eastAsia="es-ES_tradnl"/>
    </w:rPr>
  </w:style>
  <w:style w:type="paragraph" w:customStyle="1" w:styleId="xl27">
    <w:name w:val="xl27"/>
    <w:basedOn w:val="Normal"/>
    <w:rsid w:val="00AB338C"/>
    <w:pPr>
      <w:autoSpaceDE/>
      <w:autoSpaceDN/>
      <w:spacing w:before="100" w:beforeAutospacing="1" w:after="100" w:afterAutospacing="1"/>
    </w:pPr>
    <w:rPr>
      <w:rFonts w:ascii="Arial" w:hAnsi="Arial" w:cs="Arial"/>
      <w:sz w:val="24"/>
      <w:szCs w:val="24"/>
      <w:lang w:val="es-ES_tradnl" w:eastAsia="es-ES_tradnl"/>
    </w:rPr>
  </w:style>
  <w:style w:type="paragraph" w:customStyle="1" w:styleId="xl28">
    <w:name w:val="xl28"/>
    <w:basedOn w:val="Normal"/>
    <w:rsid w:val="00AB338C"/>
    <w:pPr>
      <w:autoSpaceDE/>
      <w:autoSpaceDN/>
      <w:spacing w:before="100" w:beforeAutospacing="1" w:after="100" w:afterAutospacing="1"/>
      <w:ind w:firstLineChars="100" w:firstLine="100"/>
      <w:jc w:val="right"/>
    </w:pPr>
    <w:rPr>
      <w:rFonts w:ascii="Arial" w:hAnsi="Arial" w:cs="Arial"/>
      <w:b/>
      <w:bCs/>
      <w:sz w:val="16"/>
      <w:szCs w:val="16"/>
      <w:lang w:val="es-ES_tradnl" w:eastAsia="es-ES_tradnl"/>
    </w:rPr>
  </w:style>
  <w:style w:type="paragraph" w:customStyle="1" w:styleId="xl29">
    <w:name w:val="xl29"/>
    <w:basedOn w:val="Normal"/>
    <w:rsid w:val="00AB338C"/>
    <w:pPr>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30">
    <w:name w:val="xl30"/>
    <w:basedOn w:val="Normal"/>
    <w:rsid w:val="00AB338C"/>
    <w:pP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33">
    <w:name w:val="xl33"/>
    <w:basedOn w:val="Normal"/>
    <w:rsid w:val="00AB338C"/>
    <w:pPr>
      <w:pBdr>
        <w:bottom w:val="single" w:sz="4" w:space="0" w:color="auto"/>
      </w:pBdr>
      <w:autoSpaceDE/>
      <w:autoSpaceDN/>
      <w:spacing w:before="100" w:beforeAutospacing="1" w:after="100" w:afterAutospacing="1"/>
    </w:pPr>
    <w:rPr>
      <w:rFonts w:ascii="Arial" w:hAnsi="Arial" w:cs="Arial"/>
      <w:sz w:val="16"/>
      <w:szCs w:val="16"/>
      <w:lang w:val="es-ES_tradnl" w:eastAsia="es-ES_tradnl"/>
    </w:rPr>
  </w:style>
  <w:style w:type="paragraph" w:customStyle="1" w:styleId="xl34">
    <w:name w:val="xl34"/>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35">
    <w:name w:val="xl35"/>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36">
    <w:name w:val="xl36"/>
    <w:basedOn w:val="Normal"/>
    <w:rsid w:val="00AB338C"/>
    <w:pPr>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37">
    <w:name w:val="xl37"/>
    <w:basedOn w:val="Normal"/>
    <w:rsid w:val="00AB338C"/>
    <w:pPr>
      <w:autoSpaceDE/>
      <w:autoSpaceDN/>
      <w:spacing w:before="100" w:beforeAutospacing="1" w:after="100" w:afterAutospacing="1"/>
    </w:pPr>
    <w:rPr>
      <w:rFonts w:ascii="Arial" w:hAnsi="Arial" w:cs="Arial"/>
      <w:sz w:val="16"/>
      <w:szCs w:val="16"/>
      <w:lang w:val="es-ES_tradnl" w:eastAsia="es-ES_tradnl"/>
    </w:rPr>
  </w:style>
  <w:style w:type="paragraph" w:customStyle="1" w:styleId="xl39">
    <w:name w:val="xl39"/>
    <w:basedOn w:val="Normal"/>
    <w:rsid w:val="00AB338C"/>
    <w:pP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40">
    <w:name w:val="xl40"/>
    <w:basedOn w:val="Normal"/>
    <w:rsid w:val="00AB338C"/>
    <w:pPr>
      <w:autoSpaceDE/>
      <w:autoSpaceDN/>
      <w:spacing w:before="100" w:beforeAutospacing="1" w:after="100" w:afterAutospacing="1"/>
    </w:pPr>
    <w:rPr>
      <w:rFonts w:ascii="Arial" w:hAnsi="Arial" w:cs="Arial"/>
      <w:sz w:val="16"/>
      <w:szCs w:val="16"/>
      <w:lang w:val="es-ES_tradnl" w:eastAsia="es-ES_tradnl"/>
    </w:rPr>
  </w:style>
  <w:style w:type="paragraph" w:customStyle="1" w:styleId="xl41">
    <w:name w:val="xl41"/>
    <w:basedOn w:val="Normal"/>
    <w:rsid w:val="00AB338C"/>
    <w:pPr>
      <w:pBdr>
        <w:bottom w:val="single" w:sz="4" w:space="0" w:color="auto"/>
      </w:pBdr>
      <w:autoSpaceDE/>
      <w:autoSpaceDN/>
      <w:spacing w:before="100" w:beforeAutospacing="1" w:after="100" w:afterAutospacing="1"/>
    </w:pPr>
    <w:rPr>
      <w:rFonts w:ascii="Arial" w:hAnsi="Arial" w:cs="Arial"/>
      <w:sz w:val="16"/>
      <w:szCs w:val="16"/>
      <w:lang w:val="es-ES_tradnl" w:eastAsia="es-ES_tradnl"/>
    </w:rPr>
  </w:style>
  <w:style w:type="paragraph" w:customStyle="1" w:styleId="xl42">
    <w:name w:val="xl42"/>
    <w:basedOn w:val="Normal"/>
    <w:rsid w:val="00AB338C"/>
    <w:pPr>
      <w:autoSpaceDE/>
      <w:autoSpaceDN/>
      <w:spacing w:before="100" w:beforeAutospacing="1" w:after="100" w:afterAutospacing="1"/>
      <w:jc w:val="center"/>
    </w:pPr>
    <w:rPr>
      <w:rFonts w:ascii="Arial" w:hAnsi="Arial" w:cs="Arial"/>
      <w:b/>
      <w:bCs/>
      <w:sz w:val="16"/>
      <w:szCs w:val="16"/>
      <w:lang w:val="es-ES_tradnl" w:eastAsia="es-ES_tradnl"/>
    </w:rPr>
  </w:style>
  <w:style w:type="paragraph" w:customStyle="1" w:styleId="xl43">
    <w:name w:val="xl43"/>
    <w:basedOn w:val="Normal"/>
    <w:rsid w:val="00AB338C"/>
    <w:pPr>
      <w:pBdr>
        <w:bottom w:val="single" w:sz="4" w:space="0" w:color="auto"/>
      </w:pBd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44">
    <w:name w:val="xl44"/>
    <w:basedOn w:val="Normal"/>
    <w:rsid w:val="00AB338C"/>
    <w:pPr>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45">
    <w:name w:val="xl45"/>
    <w:basedOn w:val="Normal"/>
    <w:rsid w:val="00AB338C"/>
    <w:pPr>
      <w:pBdr>
        <w:top w:val="single" w:sz="8" w:space="0" w:color="000080"/>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46">
    <w:name w:val="xl46"/>
    <w:basedOn w:val="Normal"/>
    <w:rsid w:val="00AB338C"/>
    <w:pPr>
      <w:pBdr>
        <w:bottom w:val="single" w:sz="8" w:space="0" w:color="000080"/>
      </w:pBdr>
      <w:shd w:val="clear" w:color="auto" w:fill="FFCC99"/>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47">
    <w:name w:val="xl47"/>
    <w:basedOn w:val="Normal"/>
    <w:rsid w:val="00AB338C"/>
    <w:pPr>
      <w:pBdr>
        <w:bottom w:val="single" w:sz="8" w:space="0" w:color="000080"/>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48">
    <w:name w:val="xl48"/>
    <w:basedOn w:val="Normal"/>
    <w:rsid w:val="00AB338C"/>
    <w:pPr>
      <w:pBdr>
        <w:bottom w:val="single" w:sz="8" w:space="0" w:color="000080"/>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49">
    <w:name w:val="xl49"/>
    <w:basedOn w:val="Normal"/>
    <w:rsid w:val="00AB338C"/>
    <w:pPr>
      <w:pBdr>
        <w:bottom w:val="single" w:sz="8" w:space="0" w:color="000080"/>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0">
    <w:name w:val="xl50"/>
    <w:basedOn w:val="Normal"/>
    <w:rsid w:val="00AB338C"/>
    <w:pP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1">
    <w:name w:val="xl51"/>
    <w:basedOn w:val="Normal"/>
    <w:rsid w:val="00AB338C"/>
    <w:pPr>
      <w:pBdr>
        <w:bottom w:val="single" w:sz="4" w:space="0" w:color="auto"/>
      </w:pBdr>
      <w:shd w:val="clear" w:color="auto" w:fill="FFCC99"/>
      <w:autoSpaceDE/>
      <w:autoSpaceDN/>
      <w:spacing w:before="100" w:beforeAutospacing="1" w:after="100" w:afterAutospacing="1"/>
      <w:ind w:firstLineChars="100" w:firstLine="100"/>
      <w:jc w:val="right"/>
    </w:pPr>
    <w:rPr>
      <w:rFonts w:ascii="Arial" w:hAnsi="Arial" w:cs="Arial"/>
      <w:b/>
      <w:bCs/>
      <w:sz w:val="16"/>
      <w:szCs w:val="16"/>
      <w:lang w:val="es-ES_tradnl" w:eastAsia="es-ES_tradnl"/>
    </w:rPr>
  </w:style>
  <w:style w:type="paragraph" w:customStyle="1" w:styleId="xl52">
    <w:name w:val="xl52"/>
    <w:basedOn w:val="Normal"/>
    <w:rsid w:val="00AB338C"/>
    <w:pPr>
      <w:pBdr>
        <w:bottom w:val="single" w:sz="4" w:space="0" w:color="auto"/>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53">
    <w:name w:val="xl53"/>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4">
    <w:name w:val="xl54"/>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5">
    <w:name w:val="xl55"/>
    <w:basedOn w:val="Normal"/>
    <w:rsid w:val="00AB338C"/>
    <w:pP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6">
    <w:name w:val="xl56"/>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7">
    <w:name w:val="xl57"/>
    <w:basedOn w:val="Normal"/>
    <w:rsid w:val="00AB338C"/>
    <w:pP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8">
    <w:name w:val="xl58"/>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9">
    <w:name w:val="xl59"/>
    <w:basedOn w:val="Normal"/>
    <w:rsid w:val="00AB338C"/>
    <w:pP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0">
    <w:name w:val="xl60"/>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1">
    <w:name w:val="xl61"/>
    <w:basedOn w:val="Normal"/>
    <w:rsid w:val="00AB338C"/>
    <w:pPr>
      <w:pBdr>
        <w:bottom w:val="single" w:sz="4" w:space="0" w:color="auto"/>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62">
    <w:name w:val="xl62"/>
    <w:basedOn w:val="Normal"/>
    <w:rsid w:val="00AB338C"/>
    <w:pPr>
      <w:pBdr>
        <w:top w:val="single" w:sz="4" w:space="0" w:color="000080"/>
        <w:bottom w:val="single" w:sz="8" w:space="0" w:color="000080"/>
      </w:pBdr>
      <w:shd w:val="clear" w:color="auto" w:fill="FFCC99"/>
      <w:autoSpaceDE/>
      <w:autoSpaceDN/>
      <w:spacing w:before="100" w:beforeAutospacing="1" w:after="100" w:afterAutospacing="1"/>
    </w:pPr>
    <w:rPr>
      <w:rFonts w:ascii="Arial" w:hAnsi="Arial" w:cs="Arial"/>
      <w:b/>
      <w:bCs/>
      <w:sz w:val="18"/>
      <w:szCs w:val="18"/>
      <w:lang w:val="es-ES_tradnl" w:eastAsia="es-ES_tradnl"/>
    </w:rPr>
  </w:style>
  <w:style w:type="paragraph" w:customStyle="1" w:styleId="xl63">
    <w:name w:val="xl63"/>
    <w:basedOn w:val="Normal"/>
    <w:rsid w:val="00AB338C"/>
    <w:pPr>
      <w:pBdr>
        <w:top w:val="single" w:sz="4" w:space="0" w:color="000080"/>
        <w:bottom w:val="single" w:sz="8" w:space="0" w:color="000080"/>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4">
    <w:name w:val="xl64"/>
    <w:basedOn w:val="Normal"/>
    <w:rsid w:val="00AB338C"/>
    <w:pPr>
      <w:pBdr>
        <w:top w:val="single" w:sz="4" w:space="0" w:color="000080"/>
        <w:bottom w:val="single" w:sz="8" w:space="0" w:color="000080"/>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5">
    <w:name w:val="xl65"/>
    <w:basedOn w:val="Normal"/>
    <w:rsid w:val="00AB338C"/>
    <w:pPr>
      <w:pBdr>
        <w:top w:val="single" w:sz="4" w:space="0" w:color="000080"/>
        <w:bottom w:val="single" w:sz="4" w:space="0" w:color="auto"/>
      </w:pBdr>
      <w:shd w:val="clear" w:color="auto" w:fill="FFCC99"/>
      <w:autoSpaceDE/>
      <w:autoSpaceDN/>
      <w:spacing w:before="100" w:beforeAutospacing="1" w:after="100" w:afterAutospacing="1"/>
    </w:pPr>
    <w:rPr>
      <w:rFonts w:ascii="Arial" w:hAnsi="Arial" w:cs="Arial"/>
      <w:b/>
      <w:bCs/>
      <w:sz w:val="18"/>
      <w:szCs w:val="18"/>
      <w:lang w:val="es-ES_tradnl" w:eastAsia="es-ES_tradnl"/>
    </w:rPr>
  </w:style>
  <w:style w:type="paragraph" w:customStyle="1" w:styleId="xl67">
    <w:name w:val="xl67"/>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8">
    <w:name w:val="xl68"/>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i/>
      <w:iCs/>
      <w:sz w:val="24"/>
      <w:szCs w:val="24"/>
      <w:lang w:val="es-ES_tradnl" w:eastAsia="es-ES_tradnl"/>
    </w:rPr>
  </w:style>
  <w:style w:type="paragraph" w:customStyle="1" w:styleId="xl69">
    <w:name w:val="xl69"/>
    <w:basedOn w:val="Normal"/>
    <w:rsid w:val="00AB338C"/>
    <w:pPr>
      <w:pBdr>
        <w:top w:val="single" w:sz="4" w:space="0" w:color="000080"/>
        <w:bottom w:val="single" w:sz="4" w:space="0" w:color="auto"/>
      </w:pBdr>
      <w:shd w:val="clear" w:color="auto" w:fill="FFCC99"/>
      <w:autoSpaceDE/>
      <w:autoSpaceDN/>
      <w:spacing w:before="100" w:beforeAutospacing="1" w:after="100" w:afterAutospacing="1"/>
    </w:pPr>
    <w:rPr>
      <w:rFonts w:ascii="Arial" w:hAnsi="Arial" w:cs="Arial"/>
      <w:b/>
      <w:bCs/>
      <w:i/>
      <w:iCs/>
      <w:sz w:val="24"/>
      <w:szCs w:val="24"/>
      <w:lang w:val="es-ES_tradnl" w:eastAsia="es-ES_tradnl"/>
    </w:rPr>
  </w:style>
  <w:style w:type="paragraph" w:customStyle="1" w:styleId="xl70">
    <w:name w:val="xl70"/>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i/>
      <w:iCs/>
      <w:sz w:val="24"/>
      <w:szCs w:val="24"/>
      <w:lang w:val="es-ES_tradnl" w:eastAsia="es-ES_tradnl"/>
    </w:rPr>
  </w:style>
  <w:style w:type="paragraph" w:customStyle="1" w:styleId="xl71">
    <w:name w:val="xl71"/>
    <w:basedOn w:val="Normal"/>
    <w:rsid w:val="00AB338C"/>
    <w:pPr>
      <w:autoSpaceDE/>
      <w:autoSpaceDN/>
      <w:spacing w:before="100" w:beforeAutospacing="1" w:after="100" w:afterAutospacing="1"/>
    </w:pPr>
    <w:rPr>
      <w:rFonts w:ascii="Arial" w:hAnsi="Arial" w:cs="Arial"/>
      <w:b/>
      <w:bCs/>
      <w:sz w:val="22"/>
      <w:szCs w:val="22"/>
      <w:lang w:val="es-ES_tradnl" w:eastAsia="es-ES_tradnl"/>
    </w:rPr>
  </w:style>
  <w:style w:type="table" w:styleId="Tablaclsica2">
    <w:name w:val="Table Classic 2"/>
    <w:basedOn w:val="Tablanormal"/>
    <w:uiPriority w:val="99"/>
    <w:rsid w:val="00AB338C"/>
    <w:pPr>
      <w:autoSpaceDE w:val="0"/>
      <w:autoSpaceDN w:val="0"/>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nfasis">
    <w:name w:val="Emphasis"/>
    <w:basedOn w:val="Fuentedeprrafopredeter"/>
    <w:qFormat/>
    <w:rsid w:val="00AB338C"/>
    <w:rPr>
      <w:rFonts w:cs="Times New Roman"/>
      <w:i/>
      <w:iCs/>
    </w:rPr>
  </w:style>
  <w:style w:type="table" w:styleId="Cuadrculavistosa-nfasis4">
    <w:name w:val="Colorful Grid Accent 4"/>
    <w:basedOn w:val="Tablanormal"/>
    <w:uiPriority w:val="99"/>
    <w:rsid w:val="00AB338C"/>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Sombreadovistoso-nfasis4">
    <w:name w:val="Colorful Shading Accent 4"/>
    <w:basedOn w:val="Tablanormal"/>
    <w:uiPriority w:val="99"/>
    <w:rsid w:val="00AB338C"/>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uadrculamedia3-nfasis4">
    <w:name w:val="Medium Grid 3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medio2-nfasis4">
    <w:name w:val="Medium Shading 2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Tablaclsica1">
    <w:name w:val="Table Classic 1"/>
    <w:basedOn w:val="Tablanormal"/>
    <w:uiPriority w:val="99"/>
    <w:rsid w:val="00AB338C"/>
    <w:pPr>
      <w:autoSpaceDE w:val="0"/>
      <w:autoSpaceDN w:val="0"/>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clara-nfasis4">
    <w:name w:val="Light List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font8">
    <w:name w:val="font8"/>
    <w:basedOn w:val="Normal"/>
    <w:rsid w:val="00AB338C"/>
    <w:pPr>
      <w:autoSpaceDE/>
      <w:autoSpaceDN/>
      <w:spacing w:before="100" w:beforeAutospacing="1" w:after="100" w:afterAutospacing="1"/>
    </w:pPr>
    <w:rPr>
      <w:rFonts w:ascii="Tahoma" w:hAnsi="Tahoma" w:cs="Tahoma"/>
      <w:b/>
      <w:bCs/>
      <w:color w:val="000000"/>
      <w:sz w:val="16"/>
      <w:szCs w:val="16"/>
    </w:rPr>
  </w:style>
  <w:style w:type="paragraph" w:customStyle="1" w:styleId="xl72">
    <w:name w:val="xl72"/>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73">
    <w:name w:val="xl73"/>
    <w:basedOn w:val="Normal"/>
    <w:rsid w:val="00AB338C"/>
    <w:pPr>
      <w:autoSpaceDE/>
      <w:autoSpaceDN/>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ormal"/>
    <w:rsid w:val="00AB338C"/>
    <w:pPr>
      <w:autoSpaceDE/>
      <w:autoSpaceDN/>
      <w:spacing w:before="100" w:beforeAutospacing="1" w:after="100" w:afterAutospacing="1"/>
    </w:pPr>
    <w:rPr>
      <w:rFonts w:ascii="Arial" w:hAnsi="Arial" w:cs="Arial"/>
      <w:sz w:val="16"/>
      <w:szCs w:val="16"/>
    </w:rPr>
  </w:style>
  <w:style w:type="paragraph" w:customStyle="1" w:styleId="xl75">
    <w:name w:val="xl75"/>
    <w:basedOn w:val="Normal"/>
    <w:rsid w:val="00AB338C"/>
    <w:pPr>
      <w:autoSpaceDE/>
      <w:autoSpaceDN/>
      <w:spacing w:before="100" w:beforeAutospacing="1" w:after="100" w:afterAutospacing="1"/>
      <w:jc w:val="right"/>
    </w:pPr>
    <w:rPr>
      <w:rFonts w:ascii="Arial" w:hAnsi="Arial" w:cs="Arial"/>
      <w:sz w:val="16"/>
      <w:szCs w:val="16"/>
    </w:rPr>
  </w:style>
  <w:style w:type="paragraph" w:customStyle="1" w:styleId="xl76">
    <w:name w:val="xl76"/>
    <w:basedOn w:val="Normal"/>
    <w:rsid w:val="00AB338C"/>
    <w:pPr>
      <w:autoSpaceDE/>
      <w:autoSpaceDN/>
      <w:spacing w:before="100" w:beforeAutospacing="1" w:after="100" w:afterAutospacing="1"/>
    </w:pPr>
    <w:rPr>
      <w:rFonts w:ascii="Arial" w:hAnsi="Arial" w:cs="Arial"/>
      <w:sz w:val="16"/>
      <w:szCs w:val="16"/>
    </w:rPr>
  </w:style>
  <w:style w:type="paragraph" w:customStyle="1" w:styleId="xl77">
    <w:name w:val="xl77"/>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78">
    <w:name w:val="xl78"/>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9">
    <w:name w:val="xl79"/>
    <w:basedOn w:val="Normal"/>
    <w:rsid w:val="00AB338C"/>
    <w:pPr>
      <w:autoSpaceDE/>
      <w:autoSpaceDN/>
      <w:spacing w:before="100" w:beforeAutospacing="1" w:after="100" w:afterAutospacing="1"/>
      <w:jc w:val="center"/>
    </w:pPr>
    <w:rPr>
      <w:rFonts w:ascii="Arial" w:hAnsi="Arial" w:cs="Arial"/>
      <w:b/>
      <w:bCs/>
      <w:sz w:val="16"/>
      <w:szCs w:val="16"/>
    </w:rPr>
  </w:style>
  <w:style w:type="paragraph" w:customStyle="1" w:styleId="xl80">
    <w:name w:val="xl80"/>
    <w:basedOn w:val="Normal"/>
    <w:rsid w:val="00AB338C"/>
    <w:pPr>
      <w:autoSpaceDE/>
      <w:autoSpaceDN/>
      <w:spacing w:before="100" w:beforeAutospacing="1" w:after="100" w:afterAutospacing="1"/>
    </w:pPr>
    <w:rPr>
      <w:rFonts w:ascii="Arial" w:hAnsi="Arial" w:cs="Arial"/>
      <w:b/>
      <w:bCs/>
      <w:sz w:val="16"/>
      <w:szCs w:val="16"/>
    </w:rPr>
  </w:style>
  <w:style w:type="paragraph" w:customStyle="1" w:styleId="xl81">
    <w:name w:val="xl81"/>
    <w:basedOn w:val="Normal"/>
    <w:rsid w:val="00AB338C"/>
    <w:pPr>
      <w:pBdr>
        <w:top w:val="single" w:sz="8" w:space="0" w:color="000080"/>
      </w:pBdr>
      <w:autoSpaceDE/>
      <w:autoSpaceDN/>
      <w:spacing w:before="100" w:beforeAutospacing="1" w:after="100" w:afterAutospacing="1"/>
      <w:jc w:val="right"/>
    </w:pPr>
    <w:rPr>
      <w:rFonts w:ascii="Arial" w:hAnsi="Arial" w:cs="Arial"/>
      <w:sz w:val="16"/>
      <w:szCs w:val="16"/>
    </w:rPr>
  </w:style>
  <w:style w:type="paragraph" w:customStyle="1" w:styleId="xl82">
    <w:name w:val="xl82"/>
    <w:basedOn w:val="Normal"/>
    <w:rsid w:val="00AB338C"/>
    <w:pPr>
      <w:pBdr>
        <w:bottom w:val="single" w:sz="8" w:space="0" w:color="000080"/>
      </w:pBdr>
      <w:shd w:val="clear" w:color="000000" w:fill="E5E0EC"/>
      <w:autoSpaceDE/>
      <w:autoSpaceDN/>
      <w:spacing w:before="100" w:beforeAutospacing="1" w:after="100" w:afterAutospacing="1"/>
      <w:ind w:firstLineChars="100" w:firstLine="100"/>
      <w:jc w:val="right"/>
    </w:pPr>
    <w:rPr>
      <w:rFonts w:ascii="Arial" w:hAnsi="Arial" w:cs="Arial"/>
      <w:sz w:val="16"/>
      <w:szCs w:val="16"/>
    </w:rPr>
  </w:style>
  <w:style w:type="paragraph" w:customStyle="1" w:styleId="xl83">
    <w:name w:val="xl83"/>
    <w:basedOn w:val="Normal"/>
    <w:rsid w:val="00AB338C"/>
    <w:pPr>
      <w:pBdr>
        <w:bottom w:val="single" w:sz="8" w:space="0" w:color="000080"/>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4">
    <w:name w:val="xl84"/>
    <w:basedOn w:val="Normal"/>
    <w:rsid w:val="00AB338C"/>
    <w:pPr>
      <w:pBdr>
        <w:bottom w:val="single" w:sz="8" w:space="0" w:color="000080"/>
      </w:pBdr>
      <w:shd w:val="clear" w:color="000000" w:fill="E5E0EC"/>
      <w:autoSpaceDE/>
      <w:autoSpaceDN/>
      <w:spacing w:before="100" w:beforeAutospacing="1" w:after="100" w:afterAutospacing="1"/>
      <w:jc w:val="right"/>
    </w:pPr>
    <w:rPr>
      <w:rFonts w:ascii="Arial" w:hAnsi="Arial" w:cs="Arial"/>
      <w:b/>
      <w:bCs/>
      <w:sz w:val="16"/>
      <w:szCs w:val="16"/>
    </w:rPr>
  </w:style>
  <w:style w:type="paragraph" w:customStyle="1" w:styleId="xl85">
    <w:name w:val="xl85"/>
    <w:basedOn w:val="Normal"/>
    <w:rsid w:val="00AB338C"/>
    <w:pPr>
      <w:pBdr>
        <w:bottom w:val="single" w:sz="4" w:space="0" w:color="auto"/>
      </w:pBdr>
      <w:shd w:val="clear" w:color="000000" w:fill="E5E0EC"/>
      <w:autoSpaceDE/>
      <w:autoSpaceDN/>
      <w:spacing w:before="100" w:beforeAutospacing="1" w:after="100" w:afterAutospacing="1"/>
      <w:ind w:firstLineChars="100" w:firstLine="100"/>
      <w:jc w:val="right"/>
    </w:pPr>
    <w:rPr>
      <w:rFonts w:ascii="Arial" w:hAnsi="Arial" w:cs="Arial"/>
      <w:b/>
      <w:bCs/>
      <w:sz w:val="16"/>
      <w:szCs w:val="16"/>
    </w:rPr>
  </w:style>
  <w:style w:type="paragraph" w:customStyle="1" w:styleId="xl86">
    <w:name w:val="xl86"/>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7">
    <w:name w:val="xl87"/>
    <w:basedOn w:val="Normal"/>
    <w:rsid w:val="00AB338C"/>
    <w:pPr>
      <w:pBdr>
        <w:bottom w:val="single" w:sz="4" w:space="0" w:color="auto"/>
      </w:pBdr>
      <w:shd w:val="clear" w:color="000000" w:fill="E5E0EC"/>
      <w:autoSpaceDE/>
      <w:autoSpaceDN/>
      <w:spacing w:before="100" w:beforeAutospacing="1" w:after="100" w:afterAutospacing="1"/>
      <w:jc w:val="right"/>
    </w:pPr>
    <w:rPr>
      <w:rFonts w:ascii="Arial" w:hAnsi="Arial" w:cs="Arial"/>
      <w:b/>
      <w:bCs/>
      <w:sz w:val="16"/>
      <w:szCs w:val="16"/>
    </w:rPr>
  </w:style>
  <w:style w:type="paragraph" w:customStyle="1" w:styleId="xl88">
    <w:name w:val="xl88"/>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9">
    <w:name w:val="xl89"/>
    <w:basedOn w:val="Normal"/>
    <w:rsid w:val="00AB338C"/>
    <w:pPr>
      <w:pBdr>
        <w:bottom w:val="single" w:sz="4" w:space="0" w:color="auto"/>
      </w:pBdr>
      <w:shd w:val="clear" w:color="000000" w:fill="E5E0EC"/>
      <w:autoSpaceDE/>
      <w:autoSpaceDN/>
      <w:spacing w:before="100" w:beforeAutospacing="1" w:after="100" w:afterAutospacing="1"/>
      <w:jc w:val="right"/>
    </w:pPr>
    <w:rPr>
      <w:rFonts w:ascii="Arial" w:hAnsi="Arial" w:cs="Arial"/>
      <w:sz w:val="16"/>
      <w:szCs w:val="16"/>
    </w:rPr>
  </w:style>
  <w:style w:type="paragraph" w:customStyle="1" w:styleId="xl90">
    <w:name w:val="xl90"/>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91">
    <w:name w:val="xl91"/>
    <w:basedOn w:val="Normal"/>
    <w:rsid w:val="00AB338C"/>
    <w:pPr>
      <w:pBdr>
        <w:top w:val="single" w:sz="4" w:space="0" w:color="000080"/>
        <w:bottom w:val="single" w:sz="8" w:space="0" w:color="000080"/>
      </w:pBdr>
      <w:shd w:val="clear" w:color="000000" w:fill="E5E0EC"/>
      <w:autoSpaceDE/>
      <w:autoSpaceDN/>
      <w:spacing w:before="100" w:beforeAutospacing="1" w:after="100" w:afterAutospacing="1"/>
    </w:pPr>
    <w:rPr>
      <w:rFonts w:ascii="Arial" w:hAnsi="Arial" w:cs="Arial"/>
      <w:b/>
      <w:bCs/>
      <w:sz w:val="18"/>
      <w:szCs w:val="18"/>
    </w:rPr>
  </w:style>
  <w:style w:type="paragraph" w:customStyle="1" w:styleId="xl92">
    <w:name w:val="xl92"/>
    <w:basedOn w:val="Normal"/>
    <w:rsid w:val="00AB338C"/>
    <w:pPr>
      <w:pBdr>
        <w:top w:val="single" w:sz="4" w:space="0" w:color="000080"/>
        <w:bottom w:val="single" w:sz="8" w:space="0" w:color="000080"/>
      </w:pBdr>
      <w:shd w:val="clear" w:color="000000" w:fill="E5E0EC"/>
      <w:autoSpaceDE/>
      <w:autoSpaceDN/>
      <w:spacing w:before="100" w:beforeAutospacing="1" w:after="100" w:afterAutospacing="1"/>
      <w:jc w:val="right"/>
    </w:pPr>
    <w:rPr>
      <w:rFonts w:ascii="Arial" w:hAnsi="Arial" w:cs="Arial"/>
      <w:b/>
      <w:bCs/>
      <w:sz w:val="18"/>
      <w:szCs w:val="18"/>
    </w:rPr>
  </w:style>
  <w:style w:type="paragraph" w:customStyle="1" w:styleId="xl93">
    <w:name w:val="xl93"/>
    <w:basedOn w:val="Normal"/>
    <w:rsid w:val="00AB338C"/>
    <w:pPr>
      <w:pBdr>
        <w:top w:val="single" w:sz="4" w:space="0" w:color="000080"/>
        <w:bottom w:val="single" w:sz="4" w:space="0" w:color="auto"/>
      </w:pBdr>
      <w:shd w:val="clear" w:color="000000" w:fill="E5E0EC"/>
      <w:autoSpaceDE/>
      <w:autoSpaceDN/>
      <w:spacing w:before="100" w:beforeAutospacing="1" w:after="100" w:afterAutospacing="1"/>
      <w:jc w:val="right"/>
    </w:pPr>
    <w:rPr>
      <w:rFonts w:ascii="Arial" w:hAnsi="Arial" w:cs="Arial"/>
      <w:b/>
      <w:bCs/>
      <w:sz w:val="18"/>
      <w:szCs w:val="18"/>
    </w:rPr>
  </w:style>
  <w:style w:type="paragraph" w:customStyle="1" w:styleId="xl94">
    <w:name w:val="xl94"/>
    <w:basedOn w:val="Normal"/>
    <w:rsid w:val="00AB338C"/>
    <w:pPr>
      <w:pBdr>
        <w:top w:val="single" w:sz="4" w:space="0" w:color="000080"/>
        <w:bottom w:val="single" w:sz="4" w:space="0" w:color="auto"/>
      </w:pBdr>
      <w:shd w:val="clear" w:color="000000" w:fill="E5E0EC"/>
      <w:autoSpaceDE/>
      <w:autoSpaceDN/>
      <w:spacing w:before="100" w:beforeAutospacing="1" w:after="100" w:afterAutospacing="1"/>
    </w:pPr>
    <w:rPr>
      <w:rFonts w:ascii="Arial" w:hAnsi="Arial" w:cs="Arial"/>
      <w:b/>
      <w:bCs/>
      <w:sz w:val="18"/>
      <w:szCs w:val="18"/>
    </w:rPr>
  </w:style>
  <w:style w:type="paragraph" w:customStyle="1" w:styleId="xl95">
    <w:name w:val="xl95"/>
    <w:basedOn w:val="Normal"/>
    <w:rsid w:val="00AB338C"/>
    <w:pPr>
      <w:pBdr>
        <w:top w:val="single" w:sz="4" w:space="0" w:color="000080"/>
        <w:bottom w:val="single" w:sz="4" w:space="0" w:color="auto"/>
      </w:pBdr>
      <w:shd w:val="clear" w:color="000000" w:fill="E5E0EC"/>
      <w:autoSpaceDE/>
      <w:autoSpaceDN/>
      <w:spacing w:before="100" w:beforeAutospacing="1" w:after="100" w:afterAutospacing="1"/>
    </w:pPr>
    <w:rPr>
      <w:rFonts w:ascii="Arial" w:hAnsi="Arial" w:cs="Arial"/>
      <w:b/>
      <w:bCs/>
      <w:i/>
      <w:iCs/>
    </w:rPr>
  </w:style>
  <w:style w:type="paragraph" w:customStyle="1" w:styleId="xl96">
    <w:name w:val="xl96"/>
    <w:basedOn w:val="Normal"/>
    <w:rsid w:val="00AB338C"/>
    <w:pPr>
      <w:pBdr>
        <w:top w:val="single" w:sz="4" w:space="0" w:color="000080"/>
        <w:bottom w:val="single" w:sz="4" w:space="0" w:color="auto"/>
      </w:pBdr>
      <w:shd w:val="clear" w:color="000000" w:fill="E5E0EC"/>
      <w:autoSpaceDE/>
      <w:autoSpaceDN/>
      <w:spacing w:before="100" w:beforeAutospacing="1" w:after="100" w:afterAutospacing="1"/>
      <w:jc w:val="right"/>
    </w:pPr>
    <w:rPr>
      <w:rFonts w:ascii="Arial" w:hAnsi="Arial" w:cs="Arial"/>
      <w:b/>
      <w:bCs/>
      <w:i/>
      <w:iCs/>
    </w:rPr>
  </w:style>
  <w:style w:type="paragraph" w:customStyle="1" w:styleId="xl97">
    <w:name w:val="xl97"/>
    <w:basedOn w:val="Normal"/>
    <w:rsid w:val="00AB338C"/>
    <w:pPr>
      <w:autoSpaceDE/>
      <w:autoSpaceDN/>
      <w:spacing w:before="100" w:beforeAutospacing="1" w:after="100" w:afterAutospacing="1"/>
      <w:jc w:val="right"/>
    </w:pPr>
    <w:rPr>
      <w:rFonts w:ascii="Arial" w:hAnsi="Arial" w:cs="Arial"/>
      <w:sz w:val="16"/>
      <w:szCs w:val="16"/>
    </w:rPr>
  </w:style>
  <w:style w:type="paragraph" w:customStyle="1" w:styleId="xl98">
    <w:name w:val="xl98"/>
    <w:basedOn w:val="Normal"/>
    <w:rsid w:val="00AB338C"/>
    <w:pPr>
      <w:pBdr>
        <w:bottom w:val="single" w:sz="4" w:space="0" w:color="auto"/>
      </w:pBdr>
      <w:autoSpaceDE/>
      <w:autoSpaceDN/>
      <w:spacing w:before="100" w:beforeAutospacing="1" w:after="100" w:afterAutospacing="1"/>
    </w:pPr>
    <w:rPr>
      <w:sz w:val="24"/>
      <w:szCs w:val="24"/>
    </w:rPr>
  </w:style>
  <w:style w:type="paragraph" w:customStyle="1" w:styleId="xl100">
    <w:name w:val="xl100"/>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101">
    <w:name w:val="xl101"/>
    <w:basedOn w:val="Normal"/>
    <w:rsid w:val="00AB338C"/>
    <w:pPr>
      <w:pBdr>
        <w:bottom w:val="single" w:sz="4" w:space="0" w:color="auto"/>
      </w:pBdr>
      <w:autoSpaceDE/>
      <w:autoSpaceDN/>
      <w:spacing w:before="100" w:beforeAutospacing="1" w:after="100" w:afterAutospacing="1"/>
    </w:pPr>
    <w:rPr>
      <w:sz w:val="24"/>
      <w:szCs w:val="24"/>
    </w:rPr>
  </w:style>
  <w:style w:type="paragraph" w:customStyle="1" w:styleId="xl102">
    <w:name w:val="xl102"/>
    <w:basedOn w:val="Normal"/>
    <w:rsid w:val="00AB338C"/>
    <w:pPr>
      <w:autoSpaceDE/>
      <w:autoSpaceDN/>
      <w:spacing w:before="100" w:beforeAutospacing="1" w:after="100" w:afterAutospacing="1"/>
      <w:jc w:val="center"/>
    </w:pPr>
    <w:rPr>
      <w:rFonts w:ascii="Bookman Old Style" w:hAnsi="Bookman Old Style"/>
      <w:b/>
      <w:bCs/>
      <w:color w:val="8064A2"/>
      <w:sz w:val="32"/>
      <w:szCs w:val="32"/>
    </w:rPr>
  </w:style>
  <w:style w:type="character" w:styleId="Refdecomentario">
    <w:name w:val="annotation reference"/>
    <w:basedOn w:val="Fuentedeprrafopredeter"/>
    <w:uiPriority w:val="99"/>
    <w:rsid w:val="00AB338C"/>
    <w:rPr>
      <w:rFonts w:cs="Times New Roman"/>
      <w:sz w:val="16"/>
    </w:rPr>
  </w:style>
  <w:style w:type="paragraph" w:styleId="Textocomentario">
    <w:name w:val="annotation text"/>
    <w:basedOn w:val="Normal"/>
    <w:link w:val="TextocomentarioCar"/>
    <w:uiPriority w:val="99"/>
    <w:rsid w:val="00AB338C"/>
    <w:pPr>
      <w:autoSpaceDE/>
      <w:autoSpaceDN/>
      <w:jc w:val="both"/>
    </w:pPr>
    <w:rPr>
      <w:lang w:val="es-ES_tradnl"/>
    </w:rPr>
  </w:style>
  <w:style w:type="character" w:customStyle="1" w:styleId="TextocomentarioCar">
    <w:name w:val="Texto comentario Car"/>
    <w:basedOn w:val="Fuentedeprrafopredeter"/>
    <w:link w:val="Textocomentario"/>
    <w:uiPriority w:val="99"/>
    <w:rsid w:val="00AB338C"/>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uiPriority w:val="99"/>
    <w:rsid w:val="00AB338C"/>
    <w:pPr>
      <w:autoSpaceDE/>
      <w:autoSpaceDN/>
      <w:ind w:firstLine="709"/>
      <w:jc w:val="both"/>
    </w:pPr>
    <w:rPr>
      <w:rFonts w:ascii="Arial" w:hAnsi="Arial"/>
      <w:sz w:val="24"/>
      <w:lang w:val="es-ES_tradnl"/>
    </w:rPr>
  </w:style>
  <w:style w:type="paragraph" w:styleId="Ttulo">
    <w:name w:val="Title"/>
    <w:basedOn w:val="Normal"/>
    <w:link w:val="TtuloCar"/>
    <w:uiPriority w:val="99"/>
    <w:qFormat/>
    <w:rsid w:val="00AB338C"/>
    <w:pPr>
      <w:autoSpaceDE/>
      <w:autoSpaceDN/>
      <w:ind w:left="1985" w:hanging="1418"/>
      <w:jc w:val="center"/>
      <w:outlineLvl w:val="0"/>
    </w:pPr>
    <w:rPr>
      <w:rFonts w:ascii="Algerian" w:hAnsi="Algerian"/>
      <w:b/>
      <w:sz w:val="40"/>
      <w:lang w:val="es-ES_tradnl"/>
    </w:rPr>
  </w:style>
  <w:style w:type="character" w:customStyle="1" w:styleId="TtuloCar">
    <w:name w:val="Título Car"/>
    <w:basedOn w:val="Fuentedeprrafopredeter"/>
    <w:link w:val="Ttulo"/>
    <w:uiPriority w:val="99"/>
    <w:rsid w:val="00AB338C"/>
    <w:rPr>
      <w:rFonts w:ascii="Algerian" w:eastAsia="Times New Roman" w:hAnsi="Algerian" w:cs="Times New Roman"/>
      <w:b/>
      <w:sz w:val="40"/>
      <w:szCs w:val="20"/>
      <w:lang w:val="es-ES_tradnl" w:eastAsia="es-ES"/>
    </w:rPr>
  </w:style>
  <w:style w:type="paragraph" w:customStyle="1" w:styleId="Textoindependiente211">
    <w:name w:val="Texto independiente 211"/>
    <w:basedOn w:val="Normal"/>
    <w:rsid w:val="00AB338C"/>
    <w:pPr>
      <w:autoSpaceDE/>
      <w:autoSpaceDN/>
      <w:ind w:firstLine="709"/>
      <w:jc w:val="both"/>
    </w:pPr>
    <w:rPr>
      <w:rFonts w:ascii="Arial" w:hAnsi="Arial"/>
      <w:sz w:val="24"/>
      <w:lang w:val="es-ES_tradnl"/>
    </w:rPr>
  </w:style>
  <w:style w:type="paragraph" w:customStyle="1" w:styleId="xl99">
    <w:name w:val="xl99"/>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3">
    <w:name w:val="xl103"/>
    <w:basedOn w:val="Normal"/>
    <w:rsid w:val="00AB338C"/>
    <w:pPr>
      <w:autoSpaceDE/>
      <w:autoSpaceDN/>
      <w:spacing w:before="100" w:beforeAutospacing="1" w:after="100" w:afterAutospacing="1"/>
    </w:pPr>
    <w:rPr>
      <w:rFonts w:ascii="Arial" w:hAnsi="Arial" w:cs="Arial"/>
      <w:color w:val="538ED5"/>
      <w:sz w:val="16"/>
      <w:szCs w:val="16"/>
    </w:rPr>
  </w:style>
  <w:style w:type="paragraph" w:customStyle="1" w:styleId="xl104">
    <w:name w:val="xl104"/>
    <w:basedOn w:val="Normal"/>
    <w:rsid w:val="00AB338C"/>
    <w:pPr>
      <w:autoSpaceDE/>
      <w:autoSpaceDN/>
      <w:spacing w:before="100" w:beforeAutospacing="1" w:after="100" w:afterAutospacing="1"/>
      <w:jc w:val="right"/>
    </w:pPr>
    <w:rPr>
      <w:rFonts w:ascii="Arial" w:hAnsi="Arial" w:cs="Arial"/>
      <w:color w:val="538ED5"/>
      <w:sz w:val="16"/>
      <w:szCs w:val="16"/>
    </w:rPr>
  </w:style>
  <w:style w:type="paragraph" w:customStyle="1" w:styleId="xl105">
    <w:name w:val="xl105"/>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i/>
      <w:iCs/>
    </w:rPr>
  </w:style>
  <w:style w:type="paragraph" w:customStyle="1" w:styleId="xl106">
    <w:name w:val="xl106"/>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7">
    <w:name w:val="xl107"/>
    <w:basedOn w:val="Normal"/>
    <w:rsid w:val="00AB338C"/>
    <w:pPr>
      <w:pBdr>
        <w:bottom w:val="single" w:sz="4" w:space="0" w:color="auto"/>
      </w:pBdr>
      <w:shd w:val="clear" w:color="000000" w:fill="C5D9F1"/>
      <w:autoSpaceDE/>
      <w:autoSpaceDN/>
      <w:spacing w:before="100" w:beforeAutospacing="1" w:after="100" w:afterAutospacing="1"/>
      <w:jc w:val="right"/>
    </w:pPr>
    <w:rPr>
      <w:rFonts w:ascii="Arial" w:hAnsi="Arial" w:cs="Arial"/>
      <w:b/>
      <w:bCs/>
      <w:sz w:val="16"/>
      <w:szCs w:val="16"/>
    </w:rPr>
  </w:style>
  <w:style w:type="paragraph" w:customStyle="1" w:styleId="xl108">
    <w:name w:val="xl108"/>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9">
    <w:name w:val="xl109"/>
    <w:basedOn w:val="Normal"/>
    <w:rsid w:val="00AB338C"/>
    <w:pPr>
      <w:autoSpaceDE/>
      <w:autoSpaceDN/>
      <w:spacing w:before="100" w:beforeAutospacing="1" w:after="100" w:afterAutospacing="1"/>
      <w:jc w:val="center"/>
    </w:pPr>
    <w:rPr>
      <w:rFonts w:ascii="Bookman Old Style" w:hAnsi="Bookman Old Style"/>
      <w:b/>
      <w:bCs/>
      <w:color w:val="538ED5"/>
      <w:sz w:val="32"/>
      <w:szCs w:val="32"/>
    </w:rPr>
  </w:style>
  <w:style w:type="paragraph" w:customStyle="1" w:styleId="xl110">
    <w:name w:val="xl110"/>
    <w:basedOn w:val="Normal"/>
    <w:rsid w:val="00AB338C"/>
    <w:pPr>
      <w:autoSpaceDE/>
      <w:autoSpaceDN/>
      <w:spacing w:before="100" w:beforeAutospacing="1" w:after="100" w:afterAutospacing="1"/>
      <w:jc w:val="right"/>
    </w:pPr>
    <w:rPr>
      <w:sz w:val="24"/>
      <w:szCs w:val="24"/>
    </w:rPr>
  </w:style>
  <w:style w:type="paragraph" w:customStyle="1" w:styleId="xl111">
    <w:name w:val="xl111"/>
    <w:basedOn w:val="Normal"/>
    <w:rsid w:val="00AB338C"/>
    <w:pPr>
      <w:pBdr>
        <w:left w:val="single" w:sz="12" w:space="0" w:color="auto"/>
        <w:bottom w:val="single" w:sz="4"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2">
    <w:name w:val="xl112"/>
    <w:basedOn w:val="Normal"/>
    <w:rsid w:val="00AB338C"/>
    <w:pPr>
      <w:pBdr>
        <w:left w:val="single" w:sz="12" w:space="0" w:color="auto"/>
        <w:bottom w:val="single" w:sz="4" w:space="0" w:color="auto"/>
      </w:pBdr>
      <w:autoSpaceDE/>
      <w:autoSpaceDN/>
      <w:spacing w:before="100" w:beforeAutospacing="1" w:after="100" w:afterAutospacing="1"/>
      <w:jc w:val="right"/>
    </w:pPr>
    <w:rPr>
      <w:b/>
      <w:bCs/>
      <w:sz w:val="24"/>
      <w:szCs w:val="24"/>
    </w:rPr>
  </w:style>
  <w:style w:type="paragraph" w:customStyle="1" w:styleId="xl113">
    <w:name w:val="xl113"/>
    <w:basedOn w:val="Normal"/>
    <w:rsid w:val="00AB338C"/>
    <w:pPr>
      <w:pBdr>
        <w:left w:val="single" w:sz="12"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4">
    <w:name w:val="xl114"/>
    <w:basedOn w:val="Normal"/>
    <w:rsid w:val="00AB338C"/>
    <w:pPr>
      <w:pBdr>
        <w:left w:val="single" w:sz="12"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5">
    <w:name w:val="xl115"/>
    <w:basedOn w:val="Normal"/>
    <w:rsid w:val="00AB338C"/>
    <w:pPr>
      <w:shd w:val="clear" w:color="000000" w:fill="FFFFFF"/>
      <w:autoSpaceDE/>
      <w:autoSpaceDN/>
      <w:spacing w:before="100" w:beforeAutospacing="1" w:after="100" w:afterAutospacing="1"/>
      <w:jc w:val="right"/>
    </w:pPr>
    <w:rPr>
      <w:sz w:val="24"/>
      <w:szCs w:val="24"/>
    </w:rPr>
  </w:style>
  <w:style w:type="paragraph" w:customStyle="1" w:styleId="xl116">
    <w:name w:val="xl116"/>
    <w:basedOn w:val="Normal"/>
    <w:rsid w:val="00AB338C"/>
    <w:pPr>
      <w:autoSpaceDE/>
      <w:autoSpaceDN/>
      <w:spacing w:before="100" w:beforeAutospacing="1" w:after="100" w:afterAutospacing="1"/>
      <w:jc w:val="right"/>
    </w:pPr>
    <w:rPr>
      <w:sz w:val="24"/>
      <w:szCs w:val="24"/>
    </w:rPr>
  </w:style>
  <w:style w:type="paragraph" w:customStyle="1" w:styleId="xl117">
    <w:name w:val="xl117"/>
    <w:basedOn w:val="Normal"/>
    <w:rsid w:val="00AB338C"/>
    <w:pPr>
      <w:pBdr>
        <w:bottom w:val="single" w:sz="8" w:space="0" w:color="000080"/>
      </w:pBdr>
      <w:shd w:val="clear" w:color="000000" w:fill="C5D9F1"/>
      <w:autoSpaceDE/>
      <w:autoSpaceDN/>
      <w:spacing w:before="100" w:beforeAutospacing="1" w:after="100" w:afterAutospacing="1"/>
      <w:ind w:firstLineChars="100" w:firstLine="100"/>
      <w:jc w:val="right"/>
    </w:pPr>
    <w:rPr>
      <w:sz w:val="24"/>
      <w:szCs w:val="24"/>
    </w:rPr>
  </w:style>
  <w:style w:type="paragraph" w:customStyle="1" w:styleId="xl118">
    <w:name w:val="xl118"/>
    <w:basedOn w:val="Normal"/>
    <w:rsid w:val="00AB338C"/>
    <w:pPr>
      <w:pBdr>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19">
    <w:name w:val="xl119"/>
    <w:basedOn w:val="Normal"/>
    <w:rsid w:val="00AB338C"/>
    <w:pPr>
      <w:pBdr>
        <w:bottom w:val="single" w:sz="8" w:space="0" w:color="000080"/>
      </w:pBdr>
      <w:shd w:val="clear" w:color="000000" w:fill="C5D9F1"/>
      <w:autoSpaceDE/>
      <w:autoSpaceDN/>
      <w:spacing w:before="100" w:beforeAutospacing="1" w:after="100" w:afterAutospacing="1"/>
      <w:jc w:val="center"/>
    </w:pPr>
    <w:rPr>
      <w:b/>
      <w:bCs/>
      <w:sz w:val="24"/>
      <w:szCs w:val="24"/>
    </w:rPr>
  </w:style>
  <w:style w:type="paragraph" w:customStyle="1" w:styleId="xl120">
    <w:name w:val="xl120"/>
    <w:basedOn w:val="Normal"/>
    <w:rsid w:val="00AB338C"/>
    <w:pPr>
      <w:pBdr>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21">
    <w:name w:val="xl121"/>
    <w:basedOn w:val="Normal"/>
    <w:rsid w:val="00AB338C"/>
    <w:pPr>
      <w:pBdr>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22">
    <w:name w:val="xl122"/>
    <w:basedOn w:val="Normal"/>
    <w:rsid w:val="00AB338C"/>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23">
    <w:name w:val="xl123"/>
    <w:basedOn w:val="Normal"/>
    <w:rsid w:val="00AB338C"/>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24">
    <w:name w:val="xl124"/>
    <w:basedOn w:val="Normal"/>
    <w:rsid w:val="00AB338C"/>
    <w:pPr>
      <w:pBdr>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25">
    <w:name w:val="xl125"/>
    <w:basedOn w:val="Normal"/>
    <w:rsid w:val="00AB338C"/>
    <w:pPr>
      <w:shd w:val="clear" w:color="000000" w:fill="C5D9F1"/>
      <w:autoSpaceDE/>
      <w:autoSpaceDN/>
      <w:spacing w:before="100" w:beforeAutospacing="1" w:after="100" w:afterAutospacing="1"/>
    </w:pPr>
    <w:rPr>
      <w:sz w:val="24"/>
      <w:szCs w:val="24"/>
    </w:rPr>
  </w:style>
  <w:style w:type="paragraph" w:customStyle="1" w:styleId="xl126">
    <w:name w:val="xl126"/>
    <w:basedOn w:val="Normal"/>
    <w:rsid w:val="00AB338C"/>
    <w:pPr>
      <w:pBdr>
        <w:bottom w:val="single" w:sz="4" w:space="0" w:color="auto"/>
      </w:pBdr>
      <w:shd w:val="clear" w:color="000000" w:fill="C5D9F1"/>
      <w:autoSpaceDE/>
      <w:autoSpaceDN/>
      <w:spacing w:before="100" w:beforeAutospacing="1" w:after="100" w:afterAutospacing="1"/>
      <w:ind w:firstLineChars="100" w:firstLine="100"/>
      <w:jc w:val="right"/>
    </w:pPr>
    <w:rPr>
      <w:b/>
      <w:bCs/>
      <w:sz w:val="24"/>
      <w:szCs w:val="24"/>
    </w:rPr>
  </w:style>
  <w:style w:type="paragraph" w:customStyle="1" w:styleId="xl127">
    <w:name w:val="xl127"/>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28">
    <w:name w:val="xl128"/>
    <w:basedOn w:val="Normal"/>
    <w:rsid w:val="00AB338C"/>
    <w:pPr>
      <w:pBdr>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29">
    <w:name w:val="xl129"/>
    <w:basedOn w:val="Normal"/>
    <w:rsid w:val="00AB338C"/>
    <w:pPr>
      <w:pBdr>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0">
    <w:name w:val="xl130"/>
    <w:basedOn w:val="Normal"/>
    <w:rsid w:val="00AB338C"/>
    <w:pPr>
      <w:pBdr>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31">
    <w:name w:val="xl131"/>
    <w:basedOn w:val="Normal"/>
    <w:rsid w:val="00AB338C"/>
    <w:pPr>
      <w:pBdr>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2">
    <w:name w:val="xl132"/>
    <w:basedOn w:val="Normal"/>
    <w:rsid w:val="00AB338C"/>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center"/>
    </w:pPr>
    <w:rPr>
      <w:b/>
      <w:bCs/>
      <w:sz w:val="24"/>
      <w:szCs w:val="24"/>
    </w:rPr>
  </w:style>
  <w:style w:type="paragraph" w:customStyle="1" w:styleId="xl133">
    <w:name w:val="xl133"/>
    <w:basedOn w:val="Normal"/>
    <w:rsid w:val="00AB338C"/>
    <w:pPr>
      <w:pBdr>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4">
    <w:name w:val="xl134"/>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35">
    <w:name w:val="xl135"/>
    <w:basedOn w:val="Normal"/>
    <w:rsid w:val="00AB338C"/>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36">
    <w:name w:val="xl136"/>
    <w:basedOn w:val="Normal"/>
    <w:rsid w:val="00AB338C"/>
    <w:pPr>
      <w:pBdr>
        <w:bottom w:val="single" w:sz="4" w:space="0" w:color="auto"/>
      </w:pBdr>
      <w:shd w:val="clear" w:color="000000" w:fill="C5D9F1"/>
      <w:autoSpaceDE/>
      <w:autoSpaceDN/>
      <w:spacing w:before="100" w:beforeAutospacing="1" w:after="100" w:afterAutospacing="1"/>
      <w:jc w:val="right"/>
    </w:pPr>
    <w:rPr>
      <w:sz w:val="24"/>
      <w:szCs w:val="24"/>
    </w:rPr>
  </w:style>
  <w:style w:type="paragraph" w:customStyle="1" w:styleId="xl137">
    <w:name w:val="xl137"/>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38">
    <w:name w:val="xl138"/>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39">
    <w:name w:val="xl139"/>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0">
    <w:name w:val="xl140"/>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1">
    <w:name w:val="xl141"/>
    <w:basedOn w:val="Normal"/>
    <w:rsid w:val="00AB338C"/>
    <w:pPr>
      <w:pBdr>
        <w:top w:val="single" w:sz="4" w:space="0" w:color="000080"/>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2">
    <w:name w:val="xl142"/>
    <w:basedOn w:val="Normal"/>
    <w:rsid w:val="00AB338C"/>
    <w:pPr>
      <w:pBdr>
        <w:top w:val="single" w:sz="4" w:space="0" w:color="000080"/>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3">
    <w:name w:val="xl143"/>
    <w:basedOn w:val="Normal"/>
    <w:rsid w:val="00AB338C"/>
    <w:pPr>
      <w:pBdr>
        <w:top w:val="single" w:sz="4" w:space="0" w:color="000080"/>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4">
    <w:name w:val="xl144"/>
    <w:basedOn w:val="Normal"/>
    <w:rsid w:val="00AB338C"/>
    <w:pPr>
      <w:pBdr>
        <w:top w:val="single" w:sz="4" w:space="0" w:color="000080"/>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5">
    <w:name w:val="xl145"/>
    <w:basedOn w:val="Normal"/>
    <w:rsid w:val="00AB338C"/>
    <w:pPr>
      <w:pBdr>
        <w:top w:val="single" w:sz="4" w:space="0" w:color="000080"/>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46">
    <w:name w:val="xl146"/>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47">
    <w:name w:val="xl147"/>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48">
    <w:name w:val="xl148"/>
    <w:basedOn w:val="Normal"/>
    <w:rsid w:val="00AB338C"/>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9">
    <w:name w:val="xl149"/>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50">
    <w:name w:val="xl150"/>
    <w:basedOn w:val="Normal"/>
    <w:rsid w:val="00AB338C"/>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51">
    <w:name w:val="xl151"/>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52">
    <w:name w:val="xl152"/>
    <w:basedOn w:val="Normal"/>
    <w:rsid w:val="00AB338C"/>
    <w:pPr>
      <w:pBdr>
        <w:top w:val="single" w:sz="4" w:space="0" w:color="000080"/>
        <w:bottom w:val="single" w:sz="4" w:space="0" w:color="auto"/>
      </w:pBdr>
      <w:shd w:val="clear" w:color="000000" w:fill="C5D9F1"/>
      <w:autoSpaceDE/>
      <w:autoSpaceDN/>
      <w:spacing w:before="100" w:beforeAutospacing="1" w:after="100" w:afterAutospacing="1"/>
    </w:pPr>
    <w:rPr>
      <w:b/>
      <w:bCs/>
      <w:i/>
      <w:iCs/>
      <w:sz w:val="24"/>
      <w:szCs w:val="24"/>
    </w:rPr>
  </w:style>
  <w:style w:type="paragraph" w:customStyle="1" w:styleId="xl153">
    <w:name w:val="xl153"/>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4">
    <w:name w:val="xl154"/>
    <w:basedOn w:val="Normal"/>
    <w:rsid w:val="00AB338C"/>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5">
    <w:name w:val="xl155"/>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6">
    <w:name w:val="xl156"/>
    <w:basedOn w:val="Normal"/>
    <w:rsid w:val="00AB338C"/>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7">
    <w:name w:val="xl157"/>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24"/>
      <w:szCs w:val="24"/>
    </w:rPr>
  </w:style>
  <w:style w:type="character" w:customStyle="1" w:styleId="EstiloCorreo1961">
    <w:name w:val="EstiloCorreo1961"/>
    <w:basedOn w:val="Fuentedeprrafopredeter"/>
    <w:semiHidden/>
    <w:rsid w:val="00AB338C"/>
    <w:rPr>
      <w:rFonts w:ascii="Arial" w:hAnsi="Arial" w:cs="Arial"/>
      <w:color w:val="auto"/>
      <w:sz w:val="20"/>
      <w:szCs w:val="20"/>
    </w:rPr>
  </w:style>
  <w:style w:type="paragraph" w:styleId="Textosinformato">
    <w:name w:val="Plain Text"/>
    <w:basedOn w:val="Normal"/>
    <w:link w:val="TextosinformatoCar"/>
    <w:uiPriority w:val="99"/>
    <w:unhideWhenUsed/>
    <w:rsid w:val="00AB338C"/>
    <w:pPr>
      <w:autoSpaceDE/>
      <w:autoSpaceDN/>
      <w:jc w:val="both"/>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AB338C"/>
    <w:rPr>
      <w:rFonts w:ascii="Consolas" w:hAnsi="Consolas" w:cs="Times New Roman"/>
      <w:sz w:val="21"/>
      <w:szCs w:val="21"/>
    </w:rPr>
  </w:style>
  <w:style w:type="paragraph" w:styleId="NormalWeb">
    <w:name w:val="Normal (Web)"/>
    <w:basedOn w:val="Normal"/>
    <w:unhideWhenUsed/>
    <w:rsid w:val="00AB338C"/>
    <w:pPr>
      <w:autoSpaceDE/>
      <w:autoSpaceDN/>
      <w:spacing w:before="100" w:beforeAutospacing="1" w:after="100" w:afterAutospacing="1"/>
    </w:pPr>
    <w:rPr>
      <w:rFonts w:eastAsiaTheme="minorEastAsia"/>
      <w:sz w:val="24"/>
      <w:szCs w:val="24"/>
    </w:rPr>
  </w:style>
  <w:style w:type="paragraph" w:customStyle="1" w:styleId="Default">
    <w:name w:val="Default"/>
    <w:uiPriority w:val="99"/>
    <w:rsid w:val="00AB338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customStyle="1" w:styleId="font9">
    <w:name w:val="font9"/>
    <w:basedOn w:val="Normal"/>
    <w:rsid w:val="00AB338C"/>
    <w:pPr>
      <w:autoSpaceDE/>
      <w:autoSpaceDN/>
      <w:spacing w:before="100" w:beforeAutospacing="1" w:after="100" w:afterAutospacing="1"/>
    </w:pPr>
    <w:rPr>
      <w:rFonts w:ascii="Tahoma" w:hAnsi="Tahoma" w:cs="Tahoma"/>
      <w:color w:val="000000"/>
      <w:sz w:val="18"/>
      <w:szCs w:val="18"/>
    </w:rPr>
  </w:style>
  <w:style w:type="paragraph" w:customStyle="1" w:styleId="xl158">
    <w:name w:val="xl158"/>
    <w:basedOn w:val="Normal"/>
    <w:rsid w:val="00AB338C"/>
    <w:pPr>
      <w:pBdr>
        <w:top w:val="single" w:sz="4" w:space="0" w:color="000080"/>
        <w:left w:val="single" w:sz="12" w:space="0" w:color="auto"/>
        <w:bottom w:val="single" w:sz="4" w:space="0" w:color="auto"/>
      </w:pBdr>
      <w:shd w:val="clear" w:color="000000" w:fill="CCCCFF"/>
      <w:autoSpaceDE/>
      <w:autoSpaceDN/>
      <w:spacing w:before="100" w:beforeAutospacing="1" w:after="100" w:afterAutospacing="1"/>
      <w:jc w:val="right"/>
    </w:pPr>
    <w:rPr>
      <w:b/>
      <w:bCs/>
      <w:i/>
      <w:iCs/>
      <w:sz w:val="16"/>
      <w:szCs w:val="16"/>
    </w:rPr>
  </w:style>
  <w:style w:type="paragraph" w:customStyle="1" w:styleId="font10">
    <w:name w:val="font10"/>
    <w:basedOn w:val="Normal"/>
    <w:rsid w:val="00AB338C"/>
    <w:pPr>
      <w:autoSpaceDE/>
      <w:autoSpaceDN/>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AB338C"/>
    <w:pPr>
      <w:autoSpaceDE/>
      <w:autoSpaceDN/>
      <w:spacing w:before="100" w:beforeAutospacing="1" w:after="100" w:afterAutospacing="1"/>
    </w:pPr>
    <w:rPr>
      <w:rFonts w:ascii="Tahoma" w:hAnsi="Tahoma" w:cs="Tahoma"/>
      <w:b/>
      <w:bCs/>
      <w:color w:val="000000"/>
      <w:sz w:val="18"/>
      <w:szCs w:val="18"/>
    </w:rPr>
  </w:style>
  <w:style w:type="paragraph" w:customStyle="1" w:styleId="font12">
    <w:name w:val="font12"/>
    <w:basedOn w:val="Normal"/>
    <w:rsid w:val="00AB338C"/>
    <w:pPr>
      <w:autoSpaceDE/>
      <w:autoSpaceDN/>
      <w:spacing w:before="100" w:beforeAutospacing="1" w:after="100" w:afterAutospacing="1"/>
    </w:pPr>
    <w:rPr>
      <w:rFonts w:ascii="Tahoma" w:hAnsi="Tahoma" w:cs="Tahoma"/>
      <w:color w:val="000000"/>
      <w:sz w:val="18"/>
      <w:szCs w:val="18"/>
    </w:rPr>
  </w:style>
  <w:style w:type="numbering" w:customStyle="1" w:styleId="Sinlista1">
    <w:name w:val="Sin lista1"/>
    <w:next w:val="Sinlista"/>
    <w:uiPriority w:val="99"/>
    <w:semiHidden/>
    <w:unhideWhenUsed/>
    <w:rsid w:val="00AB338C"/>
  </w:style>
  <w:style w:type="table" w:customStyle="1" w:styleId="Tablaconcuadrcula1">
    <w:name w:val="Tabla con cuadrícula1"/>
    <w:basedOn w:val="Tablanormal"/>
    <w:next w:val="Tablaconcuadrcula"/>
    <w:uiPriority w:val="99"/>
    <w:rsid w:val="00AB338C"/>
    <w:pPr>
      <w:spacing w:after="0"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AB338C"/>
    <w:rPr>
      <w:i/>
      <w:iCs/>
      <w:color w:val="808080" w:themeColor="text1" w:themeTint="7F"/>
    </w:rPr>
  </w:style>
  <w:style w:type="paragraph" w:styleId="Sangra2detindependiente">
    <w:name w:val="Body Text Indent 2"/>
    <w:basedOn w:val="Normal"/>
    <w:link w:val="Sangra2detindependienteCar"/>
    <w:uiPriority w:val="99"/>
    <w:semiHidden/>
    <w:unhideWhenUsed/>
    <w:rsid w:val="00AB338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338C"/>
    <w:rPr>
      <w:rFonts w:ascii="Times New Roman" w:eastAsia="Times New Roman" w:hAnsi="Times New Roman" w:cs="Times New Roman"/>
      <w:sz w:val="20"/>
      <w:szCs w:val="20"/>
      <w:lang w:eastAsia="es-ES"/>
    </w:rPr>
  </w:style>
  <w:style w:type="paragraph" w:customStyle="1" w:styleId="xl159">
    <w:name w:val="xl159"/>
    <w:basedOn w:val="Normal"/>
    <w:rsid w:val="00AB338C"/>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60">
    <w:name w:val="xl160"/>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1">
    <w:name w:val="xl161"/>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2">
    <w:name w:val="xl162"/>
    <w:basedOn w:val="Normal"/>
    <w:rsid w:val="00AB338C"/>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3">
    <w:name w:val="xl163"/>
    <w:basedOn w:val="Normal"/>
    <w:rsid w:val="00AB338C"/>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4">
    <w:name w:val="xl164"/>
    <w:basedOn w:val="Normal"/>
    <w:rsid w:val="00AB338C"/>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65">
    <w:name w:val="xl165"/>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6">
    <w:name w:val="xl166"/>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7">
    <w:name w:val="xl167"/>
    <w:basedOn w:val="Normal"/>
    <w:rsid w:val="00AB338C"/>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8">
    <w:name w:val="xl168"/>
    <w:basedOn w:val="Normal"/>
    <w:rsid w:val="00AB338C"/>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9">
    <w:name w:val="xl169"/>
    <w:basedOn w:val="Normal"/>
    <w:rsid w:val="00AB338C"/>
    <w:pPr>
      <w:pBdr>
        <w:right w:val="single" w:sz="12" w:space="0" w:color="auto"/>
      </w:pBdr>
      <w:autoSpaceDE/>
      <w:autoSpaceDN/>
      <w:spacing w:before="100" w:beforeAutospacing="1" w:after="100" w:afterAutospacing="1"/>
    </w:pPr>
    <w:rPr>
      <w:color w:val="000000"/>
      <w:sz w:val="16"/>
      <w:szCs w:val="16"/>
    </w:rPr>
  </w:style>
  <w:style w:type="character" w:styleId="Textodelmarcadordeposicin">
    <w:name w:val="Placeholder Text"/>
    <w:basedOn w:val="Fuentedeprrafopredeter"/>
    <w:uiPriority w:val="99"/>
    <w:semiHidden/>
    <w:rsid w:val="00AB338C"/>
    <w:rPr>
      <w:color w:val="808080"/>
    </w:rPr>
  </w:style>
  <w:style w:type="paragraph" w:customStyle="1" w:styleId="Lneadeasunto">
    <w:name w:val="Línea de asunto"/>
    <w:basedOn w:val="Normal"/>
    <w:rsid w:val="00AB338C"/>
    <w:pPr>
      <w:autoSpaceDE/>
      <w:autoSpaceDN/>
      <w:spacing w:after="200"/>
    </w:pPr>
    <w:rPr>
      <w:rFonts w:ascii="Cambria" w:hAnsi="Cambria"/>
      <w:sz w:val="24"/>
      <w:szCs w:val="24"/>
      <w:lang w:val="es-ES_tradnl" w:eastAsia="en-US"/>
    </w:rPr>
  </w:style>
  <w:style w:type="paragraph" w:customStyle="1" w:styleId="Ttulo11">
    <w:name w:val="Título 11"/>
    <w:basedOn w:val="Normal"/>
    <w:uiPriority w:val="1"/>
    <w:qFormat/>
    <w:rsid w:val="00AB338C"/>
    <w:pPr>
      <w:widowControl w:val="0"/>
      <w:spacing w:before="108"/>
      <w:ind w:left="1425" w:right="1146"/>
      <w:jc w:val="both"/>
      <w:outlineLvl w:val="1"/>
    </w:pPr>
    <w:rPr>
      <w:rFonts w:ascii="Arial" w:eastAsia="Arial" w:hAnsi="Arial" w:cs="Arial"/>
      <w:sz w:val="21"/>
      <w:szCs w:val="21"/>
      <w:lang w:bidi="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3387</Words>
  <Characters>18630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esanchez</cp:lastModifiedBy>
  <cp:revision>3</cp:revision>
  <dcterms:created xsi:type="dcterms:W3CDTF">2019-11-21T12:06:00Z</dcterms:created>
  <dcterms:modified xsi:type="dcterms:W3CDTF">2020-05-22T09:29:00Z</dcterms:modified>
</cp:coreProperties>
</file>